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78B1" w14:textId="01362ED7" w:rsidR="00A31D19" w:rsidRDefault="00A31D19" w:rsidP="00A31D19">
      <w:pPr>
        <w:widowControl w:val="0"/>
        <w:autoSpaceDE w:val="0"/>
        <w:autoSpaceDN w:val="0"/>
        <w:adjustRightInd w:val="0"/>
        <w:jc w:val="both"/>
        <w:rPr>
          <w:rFonts w:ascii="Verdana" w:hAnsi="Verdana" w:cs="Verdana"/>
          <w:sz w:val="22"/>
          <w:szCs w:val="22"/>
        </w:rPr>
      </w:pPr>
      <w:r>
        <w:rPr>
          <w:rFonts w:ascii="Verdana" w:hAnsi="Verdana" w:cs="Verdana"/>
          <w:noProof/>
          <w:color w:val="0000E9"/>
          <w:sz w:val="22"/>
          <w:szCs w:val="22"/>
        </w:rPr>
        <w:drawing>
          <wp:inline distT="0" distB="0" distL="0" distR="0" wp14:anchorId="0FB6EC17" wp14:editId="778BDB3C">
            <wp:extent cx="952500" cy="825500"/>
            <wp:effectExtent l="0" t="0" r="12700" b="12700"/>
            <wp:docPr id="1"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25500"/>
                    </a:xfrm>
                    <a:prstGeom prst="rect">
                      <a:avLst/>
                    </a:prstGeom>
                    <a:noFill/>
                    <a:ln>
                      <a:noFill/>
                    </a:ln>
                  </pic:spPr>
                </pic:pic>
              </a:graphicData>
            </a:graphic>
          </wp:inline>
        </w:drawing>
      </w:r>
      <w:r w:rsidR="006F44F9">
        <w:rPr>
          <w:rFonts w:ascii="Verdana" w:hAnsi="Verdana" w:cs="Verdana"/>
          <w:sz w:val="22"/>
          <w:szCs w:val="22"/>
        </w:rPr>
        <w:t xml:space="preserve">  </w:t>
      </w:r>
      <w:hyperlink r:id="rId9" w:history="1">
        <w:r w:rsidR="006F44F9">
          <w:rPr>
            <w:rFonts w:ascii="Verdana" w:hAnsi="Verdana" w:cs="Verdana"/>
            <w:b/>
            <w:bCs/>
            <w:color w:val="073E76"/>
            <w:sz w:val="26"/>
            <w:szCs w:val="26"/>
          </w:rPr>
          <w:t>UNDERBLOG</w:t>
        </w:r>
      </w:hyperlink>
      <w:r w:rsidR="006F44F9">
        <w:rPr>
          <w:rFonts w:ascii="Verdana" w:hAnsi="Verdana" w:cs="Times New Roman"/>
        </w:rPr>
        <w:t xml:space="preserve">    </w:t>
      </w:r>
      <w:hyperlink r:id="rId10" w:history="1">
        <w:r w:rsidR="006F44F9">
          <w:rPr>
            <w:rFonts w:ascii="Verdana" w:hAnsi="Verdana" w:cs="Verdana"/>
          </w:rPr>
          <w:t xml:space="preserve">Maria Grazia </w:t>
        </w:r>
        <w:proofErr w:type="spellStart"/>
        <w:r w:rsidR="006F44F9">
          <w:rPr>
            <w:rFonts w:ascii="Verdana" w:hAnsi="Verdana" w:cs="Verdana"/>
          </w:rPr>
          <w:t>Bruzzone</w:t>
        </w:r>
        <w:proofErr w:type="spellEnd"/>
      </w:hyperlink>
    </w:p>
    <w:p w14:paraId="1CCCE4D0" w14:textId="77777777" w:rsidR="00A31D19" w:rsidRDefault="00A31D19" w:rsidP="00A31D19">
      <w:pPr>
        <w:widowControl w:val="0"/>
        <w:autoSpaceDE w:val="0"/>
        <w:autoSpaceDN w:val="0"/>
        <w:adjustRightInd w:val="0"/>
        <w:jc w:val="both"/>
        <w:rPr>
          <w:rFonts w:ascii="Verdana" w:hAnsi="Verdana" w:cs="Verdana"/>
          <w:sz w:val="22"/>
          <w:szCs w:val="22"/>
        </w:rPr>
      </w:pPr>
    </w:p>
    <w:p w14:paraId="7B72B01D" w14:textId="77777777" w:rsidR="00A31D19" w:rsidRDefault="00A31D19" w:rsidP="00A31D19">
      <w:pPr>
        <w:widowControl w:val="0"/>
        <w:autoSpaceDE w:val="0"/>
        <w:autoSpaceDN w:val="0"/>
        <w:adjustRightInd w:val="0"/>
        <w:jc w:val="both"/>
        <w:rPr>
          <w:rFonts w:ascii="Verdana" w:hAnsi="Verdana" w:cs="Verdana"/>
          <w:sz w:val="22"/>
          <w:szCs w:val="22"/>
          <w:u w:color="262626"/>
        </w:rPr>
      </w:pPr>
      <w:r>
        <w:rPr>
          <w:rFonts w:ascii="Verdana" w:hAnsi="Verdana" w:cs="Verdana"/>
          <w:noProof/>
          <w:color w:val="0000E9"/>
          <w:sz w:val="22"/>
          <w:szCs w:val="22"/>
        </w:rPr>
        <w:drawing>
          <wp:inline distT="0" distB="0" distL="0" distR="0" wp14:anchorId="4B66856E" wp14:editId="3719B7E2">
            <wp:extent cx="3996690" cy="608192"/>
            <wp:effectExtent l="0" t="0" r="0" b="1905"/>
            <wp:docPr id="20" name="Immagine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6690" cy="608192"/>
                    </a:xfrm>
                    <a:prstGeom prst="rect">
                      <a:avLst/>
                    </a:prstGeom>
                    <a:noFill/>
                    <a:ln>
                      <a:noFill/>
                    </a:ln>
                  </pic:spPr>
                </pic:pic>
              </a:graphicData>
            </a:graphic>
          </wp:inline>
        </w:drawing>
      </w:r>
      <w:r>
        <w:rPr>
          <w:rFonts w:ascii="Verdana" w:hAnsi="Verdana" w:cs="Verdana"/>
          <w:sz w:val="22"/>
          <w:szCs w:val="22"/>
        </w:rPr>
        <w:t xml:space="preserve"> </w:t>
      </w:r>
      <w:hyperlink r:id="rId13" w:history="1">
        <w:r>
          <w:rPr>
            <w:rFonts w:ascii="Georgia" w:hAnsi="Georgia" w:cs="Georgia"/>
            <w:color w:val="6786B1"/>
            <w:sz w:val="60"/>
            <w:szCs w:val="60"/>
          </w:rPr>
          <w:t>BLOG</w:t>
        </w:r>
      </w:hyperlink>
    </w:p>
    <w:p w14:paraId="79DB3D58" w14:textId="77777777" w:rsidR="00A31D19" w:rsidRDefault="00A31D19" w:rsidP="00A31D19">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14:paraId="6ACD6010" w14:textId="77777777" w:rsidR="00A31D19" w:rsidRDefault="00A31D19" w:rsidP="00A31D19">
      <w:pPr>
        <w:widowControl w:val="0"/>
        <w:autoSpaceDE w:val="0"/>
        <w:autoSpaceDN w:val="0"/>
        <w:adjustRightInd w:val="0"/>
        <w:jc w:val="both"/>
        <w:rPr>
          <w:rFonts w:ascii="Verdana" w:hAnsi="Verdana" w:cs="Verdana"/>
          <w:sz w:val="22"/>
          <w:szCs w:val="22"/>
          <w:u w:color="262626"/>
        </w:rPr>
      </w:pPr>
    </w:p>
    <w:p w14:paraId="63EB32D5" w14:textId="77777777" w:rsidR="00A31D19" w:rsidRDefault="00A31D19" w:rsidP="00A31D19">
      <w:pPr>
        <w:widowControl w:val="0"/>
        <w:autoSpaceDE w:val="0"/>
        <w:autoSpaceDN w:val="0"/>
        <w:adjustRightInd w:val="0"/>
        <w:jc w:val="both"/>
        <w:rPr>
          <w:rFonts w:ascii="Tahoma" w:hAnsi="Tahoma" w:cs="Tahoma"/>
          <w:color w:val="707276"/>
          <w:sz w:val="20"/>
          <w:szCs w:val="20"/>
          <w:u w:color="262626"/>
        </w:rPr>
      </w:pPr>
      <w:r>
        <w:rPr>
          <w:rFonts w:ascii="Tahoma" w:hAnsi="Tahoma" w:cs="Tahoma"/>
          <w:color w:val="707276"/>
          <w:sz w:val="20"/>
          <w:szCs w:val="20"/>
          <w:u w:color="262626"/>
        </w:rPr>
        <w:t>23/06/2012</w:t>
      </w:r>
    </w:p>
    <w:p w14:paraId="5109FA4E" w14:textId="77777777" w:rsidR="00A31D19" w:rsidRDefault="00A31D19" w:rsidP="00A31D19">
      <w:pPr>
        <w:widowControl w:val="0"/>
        <w:autoSpaceDE w:val="0"/>
        <w:autoSpaceDN w:val="0"/>
        <w:adjustRightInd w:val="0"/>
        <w:jc w:val="both"/>
        <w:rPr>
          <w:rFonts w:ascii="Georgia" w:hAnsi="Georgia" w:cs="Georgia"/>
          <w:color w:val="083F77"/>
          <w:sz w:val="40"/>
          <w:szCs w:val="40"/>
          <w:u w:color="262626"/>
        </w:rPr>
      </w:pPr>
      <w:r w:rsidRPr="00A31D19">
        <w:rPr>
          <w:rFonts w:ascii="Georgia" w:hAnsi="Georgia" w:cs="Georgia"/>
          <w:color w:val="083F77"/>
          <w:sz w:val="40"/>
          <w:szCs w:val="40"/>
          <w:u w:color="262626"/>
        </w:rPr>
        <w:t>Spread e finanza casinò: se le scommesse più ancora che negli Usa si fanno in Europa, dove le regole sono, ancor più lasche (per ora).</w:t>
      </w:r>
    </w:p>
    <w:p w14:paraId="4FA3BFF3" w14:textId="77777777" w:rsidR="00755606" w:rsidRDefault="00755606" w:rsidP="00A31D19">
      <w:pPr>
        <w:widowControl w:val="0"/>
        <w:autoSpaceDE w:val="0"/>
        <w:autoSpaceDN w:val="0"/>
        <w:adjustRightInd w:val="0"/>
        <w:jc w:val="both"/>
        <w:rPr>
          <w:rFonts w:ascii="Georgia" w:hAnsi="Georgia" w:cs="Georgia"/>
          <w:color w:val="083F77"/>
          <w:sz w:val="40"/>
          <w:szCs w:val="40"/>
          <w:u w:color="262626"/>
        </w:rPr>
      </w:pPr>
    </w:p>
    <w:p w14:paraId="5807B294" w14:textId="77777777" w:rsidR="00755606" w:rsidRPr="00A31D19" w:rsidRDefault="00755606" w:rsidP="00A31D19">
      <w:pPr>
        <w:widowControl w:val="0"/>
        <w:autoSpaceDE w:val="0"/>
        <w:autoSpaceDN w:val="0"/>
        <w:adjustRightInd w:val="0"/>
        <w:jc w:val="both"/>
        <w:rPr>
          <w:rFonts w:ascii="Georgia" w:hAnsi="Georgia" w:cs="Georgia"/>
          <w:color w:val="083F77"/>
          <w:sz w:val="40"/>
          <w:szCs w:val="40"/>
          <w:u w:color="262626"/>
        </w:rPr>
      </w:pPr>
    </w:p>
    <w:p w14:paraId="06D475E1" w14:textId="77777777" w:rsidR="00A31D19" w:rsidRPr="00755606" w:rsidRDefault="00A31D19" w:rsidP="00A31D19">
      <w:pPr>
        <w:widowControl w:val="0"/>
        <w:autoSpaceDE w:val="0"/>
        <w:autoSpaceDN w:val="0"/>
        <w:adjustRightInd w:val="0"/>
        <w:spacing w:after="120"/>
        <w:ind w:firstLine="567"/>
        <w:jc w:val="both"/>
        <w:rPr>
          <w:rFonts w:ascii="Georgia" w:hAnsi="Georgia" w:cs="Georgia"/>
          <w:color w:val="313231"/>
          <w:u w:color="262626"/>
        </w:rPr>
      </w:pPr>
      <w:bookmarkStart w:id="0" w:name="_GoBack"/>
      <w:bookmarkEnd w:id="0"/>
      <w:r w:rsidRPr="00755606">
        <w:rPr>
          <w:rFonts w:ascii="Georgia" w:hAnsi="Georgia" w:cs="Georgia"/>
          <w:b/>
          <w:bCs/>
          <w:color w:val="313231"/>
          <w:u w:color="262626"/>
        </w:rPr>
        <w:t>I politici europei avranno il coraggio di mettere un freno, rafforzandole?</w:t>
      </w:r>
      <w:r w:rsidRPr="00755606">
        <w:rPr>
          <w:rFonts w:ascii="Georgia" w:hAnsi="Georgia" w:cs="Georgia"/>
          <w:color w:val="313231"/>
          <w:u w:color="262626"/>
        </w:rPr>
        <w:t> </w:t>
      </w:r>
    </w:p>
    <w:p w14:paraId="1FBAEFAA"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Leggiamo che Monti è rimasto deluso dalla scarsa attenzione ricevuta dai partner europei sulle misure da lui proposte per calmierare gli spread, la cui crescita erratica, facendo salire a dismisura gli interessi sui titoli di Stato, mette a rischio il risanamento intrapreso da paesi responsabili e diligenti, come appunto l’Italia. A dire il vero la Spagna è con noi, </w:t>
      </w:r>
      <w:proofErr w:type="spellStart"/>
      <w:r w:rsidRPr="00755606">
        <w:rPr>
          <w:rFonts w:ascii="Georgia" w:hAnsi="Georgia" w:cs="Georgia"/>
          <w:color w:val="313231"/>
          <w:u w:color="262626"/>
        </w:rPr>
        <w:t>Hollande</w:t>
      </w:r>
      <w:proofErr w:type="spellEnd"/>
      <w:r w:rsidRPr="00755606">
        <w:rPr>
          <w:rFonts w:ascii="Georgia" w:hAnsi="Georgia" w:cs="Georgia"/>
          <w:color w:val="313231"/>
          <w:u w:color="262626"/>
        </w:rPr>
        <w:t xml:space="preserve"> sarebbe forse disponibile (sarebbe). A opporsi pare sia la solita Germania, e per ora non se n’è fatto nulla.  </w:t>
      </w:r>
    </w:p>
    <w:p w14:paraId="618905B4"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Eppure, proprio la Germania dovrebbe essere più interessata a che i paesi “deboli” ma decisi a risanare i propri bilanci siano aiutati o </w:t>
      </w:r>
      <w:proofErr w:type="gramStart"/>
      <w:r w:rsidRPr="00755606">
        <w:rPr>
          <w:rFonts w:ascii="Georgia" w:hAnsi="Georgia" w:cs="Georgia"/>
          <w:color w:val="313231"/>
          <w:u w:color="262626"/>
        </w:rPr>
        <w:t>quanto meno</w:t>
      </w:r>
      <w:proofErr w:type="gramEnd"/>
      <w:r w:rsidRPr="00755606">
        <w:rPr>
          <w:rFonts w:ascii="Georgia" w:hAnsi="Georgia" w:cs="Georgia"/>
          <w:color w:val="313231"/>
          <w:u w:color="262626"/>
        </w:rPr>
        <w:t xml:space="preserve"> protetti dalla furia dei “</w:t>
      </w:r>
      <w:proofErr w:type="spellStart"/>
      <w:r w:rsidRPr="00755606">
        <w:rPr>
          <w:rFonts w:ascii="Georgia" w:hAnsi="Georgia" w:cs="Georgia"/>
          <w:color w:val="313231"/>
          <w:u w:color="262626"/>
        </w:rPr>
        <w:t>mercati”sregolati</w:t>
      </w:r>
      <w:proofErr w:type="spellEnd"/>
      <w:r w:rsidRPr="00755606">
        <w:rPr>
          <w:rFonts w:ascii="Georgia" w:hAnsi="Georgia" w:cs="Georgia"/>
          <w:color w:val="313231"/>
          <w:u w:color="262626"/>
        </w:rPr>
        <w:t>.  </w:t>
      </w:r>
    </w:p>
    <w:p w14:paraId="60ACA607" w14:textId="77777777" w:rsidR="00A31D19" w:rsidRPr="00755606" w:rsidRDefault="00A31D19" w:rsidP="00A31D19">
      <w:pPr>
        <w:spacing w:after="120"/>
        <w:ind w:firstLine="567"/>
        <w:jc w:val="both"/>
        <w:rPr>
          <w:rFonts w:ascii="Georgia" w:hAnsi="Georgia" w:cs="Georgia"/>
          <w:color w:val="313231"/>
          <w:u w:color="262626"/>
        </w:rPr>
      </w:pPr>
      <w:proofErr w:type="gramStart"/>
      <w:r w:rsidRPr="00755606">
        <w:rPr>
          <w:rFonts w:ascii="Georgia" w:hAnsi="Georgia" w:cs="Georgia"/>
          <w:b/>
          <w:bCs/>
          <w:color w:val="313231"/>
          <w:u w:color="262626"/>
        </w:rPr>
        <w:t>Ma</w:t>
      </w:r>
      <w:proofErr w:type="gramEnd"/>
      <w:r w:rsidRPr="00755606">
        <w:rPr>
          <w:rFonts w:ascii="Georgia" w:hAnsi="Georgia" w:cs="Georgia"/>
          <w:b/>
          <w:bCs/>
          <w:color w:val="313231"/>
          <w:u w:color="262626"/>
        </w:rPr>
        <w:t xml:space="preserve"> è davvero così?</w:t>
      </w:r>
      <w:r w:rsidRPr="00755606">
        <w:rPr>
          <w:rFonts w:ascii="Georgia" w:hAnsi="Georgia" w:cs="Georgia"/>
          <w:color w:val="313231"/>
          <w:u w:color="262626"/>
        </w:rPr>
        <w:t xml:space="preserve"> Non ci sono altri interessi, dietro questo gioco al massacro (per noi e non solo)? E a opporsi è veramente solo </w:t>
      </w:r>
      <w:proofErr w:type="spellStart"/>
      <w:r w:rsidRPr="00755606">
        <w:rPr>
          <w:rFonts w:ascii="Georgia" w:hAnsi="Georgia" w:cs="Georgia"/>
          <w:color w:val="313231"/>
          <w:u w:color="262626"/>
        </w:rPr>
        <w:t>frau</w:t>
      </w:r>
      <w:proofErr w:type="spellEnd"/>
      <w:r w:rsidRPr="00755606">
        <w:rPr>
          <w:rFonts w:ascii="Georgia" w:hAnsi="Georgia" w:cs="Georgia"/>
          <w:color w:val="313231"/>
          <w:u w:color="262626"/>
        </w:rPr>
        <w:t xml:space="preserve"> </w:t>
      </w:r>
      <w:proofErr w:type="spellStart"/>
      <w:r w:rsidRPr="00755606">
        <w:rPr>
          <w:rFonts w:ascii="Georgia" w:hAnsi="Georgia" w:cs="Georgia"/>
          <w:color w:val="313231"/>
          <w:u w:color="262626"/>
        </w:rPr>
        <w:t>Merkel</w:t>
      </w:r>
      <w:proofErr w:type="spellEnd"/>
      <w:r w:rsidRPr="00755606">
        <w:rPr>
          <w:rFonts w:ascii="Georgia" w:hAnsi="Georgia" w:cs="Georgia"/>
          <w:color w:val="313231"/>
          <w:u w:color="262626"/>
        </w:rPr>
        <w:t xml:space="preserve">? Forse di mezzo ci sono le solite </w:t>
      </w:r>
      <w:proofErr w:type="spellStart"/>
      <w:r w:rsidRPr="00755606">
        <w:rPr>
          <w:rFonts w:ascii="Georgia" w:hAnsi="Georgia" w:cs="Georgia"/>
          <w:color w:val="313231"/>
          <w:u w:color="262626"/>
        </w:rPr>
        <w:t>megabanche</w:t>
      </w:r>
      <w:proofErr w:type="spellEnd"/>
      <w:r w:rsidRPr="00755606">
        <w:rPr>
          <w:rFonts w:ascii="Georgia" w:hAnsi="Georgia" w:cs="Georgia"/>
          <w:color w:val="313231"/>
          <w:u w:color="262626"/>
        </w:rPr>
        <w:t xml:space="preserve"> transnazionali, </w:t>
      </w:r>
      <w:hyperlink r:id="rId14" w:history="1">
        <w:r w:rsidRPr="00755606">
          <w:rPr>
            <w:rFonts w:ascii="Georgia" w:hAnsi="Georgia" w:cs="Georgia"/>
            <w:color w:val="073E76"/>
            <w:u w:color="262626"/>
          </w:rPr>
          <w:t>come dice chiaro un economista americano che ha lavorato con tre presidenti</w:t>
        </w:r>
      </w:hyperlink>
      <w:r w:rsidRPr="00755606">
        <w:rPr>
          <w:rFonts w:ascii="Georgia" w:hAnsi="Georgia" w:cs="Georgia"/>
          <w:color w:val="313231"/>
          <w:u w:color="262626"/>
        </w:rPr>
        <w:t xml:space="preserve">, e come sottintende </w:t>
      </w:r>
      <w:hyperlink r:id="rId15" w:history="1">
        <w:r w:rsidRPr="00755606">
          <w:rPr>
            <w:rFonts w:ascii="Georgia" w:hAnsi="Georgia" w:cs="Georgia"/>
            <w:color w:val="073E76"/>
            <w:u w:color="262626"/>
          </w:rPr>
          <w:t>uno studio di Mediobanca</w:t>
        </w:r>
      </w:hyperlink>
      <w:r w:rsidRPr="00755606">
        <w:rPr>
          <w:rFonts w:ascii="Georgia" w:hAnsi="Georgia" w:cs="Georgia"/>
          <w:color w:val="313231"/>
          <w:u w:color="262626"/>
        </w:rPr>
        <w:t>.</w:t>
      </w:r>
      <w:proofErr w:type="gramStart"/>
      <w:r w:rsidRPr="00755606">
        <w:rPr>
          <w:rFonts w:ascii="Georgia" w:hAnsi="Georgia" w:cs="Georgia"/>
          <w:color w:val="313231"/>
          <w:u w:color="262626"/>
        </w:rPr>
        <w:t>  </w:t>
      </w:r>
      <w:proofErr w:type="gramEnd"/>
    </w:p>
    <w:p w14:paraId="5A6A3A00"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Il fatto è che i fatidici spread sono legati alle scommesse e ai giochi finanziari</w:t>
      </w:r>
      <w:r w:rsidRPr="00755606">
        <w:rPr>
          <w:rFonts w:ascii="Georgia" w:hAnsi="Georgia" w:cs="Georgia"/>
          <w:color w:val="313231"/>
          <w:u w:color="262626"/>
        </w:rPr>
        <w:t xml:space="preserve"> fatti sui paesi cosiddetti “ a rischio” (secondo i “mercati”), e sulla pelle delle loro popolazioni, attraverso gli ormai famigerati “derivati”. Strumenti che in teoria dovrebbero proteggere dai rischi gli investitori, in pratica sono in gran parte strumenti di pura speculazione. “Armi di distruzione di massa”, li ha definiti tempo fa Warren Buffett, il guru di Omaha.</w:t>
      </w:r>
      <w:proofErr w:type="gramStart"/>
      <w:r w:rsidRPr="00755606">
        <w:rPr>
          <w:rFonts w:ascii="Georgia" w:hAnsi="Georgia" w:cs="Georgia"/>
          <w:color w:val="313231"/>
          <w:u w:color="262626"/>
        </w:rPr>
        <w:t>  </w:t>
      </w:r>
      <w:proofErr w:type="gramEnd"/>
    </w:p>
    <w:p w14:paraId="383FFB93"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Non solo. Il loro abuso è diventato tale da suscitare allarmi sui “rischi sistemici” inerenti a queste pratiche, e sempre più forti prese di posizione favorevoli a una loro </w:t>
      </w:r>
      <w:proofErr w:type="gramStart"/>
      <w:r w:rsidRPr="00755606">
        <w:rPr>
          <w:rFonts w:ascii="Georgia" w:hAnsi="Georgia" w:cs="Georgia"/>
          <w:color w:val="313231"/>
          <w:u w:color="262626"/>
        </w:rPr>
        <w:t>regolamentazione</w:t>
      </w:r>
      <w:proofErr w:type="gramEnd"/>
      <w:r w:rsidRPr="00755606">
        <w:rPr>
          <w:rFonts w:ascii="Georgia" w:hAnsi="Georgia" w:cs="Georgia"/>
          <w:color w:val="313231"/>
          <w:u w:color="262626"/>
        </w:rPr>
        <w:t xml:space="preserve">. Basti dire che il valore (nominale) di tutti i derivati in giro per il mondo </w:t>
      </w:r>
      <w:r w:rsidRPr="00755606">
        <w:rPr>
          <w:rFonts w:ascii="Georgia" w:hAnsi="Georgia" w:cs="Georgia"/>
          <w:color w:val="313231"/>
          <w:u w:color="262626"/>
        </w:rPr>
        <w:lastRenderedPageBreak/>
        <w:t xml:space="preserve">è di circa 650 trilioni di dollari, pari a </w:t>
      </w:r>
      <w:proofErr w:type="gramStart"/>
      <w:r w:rsidRPr="00755606">
        <w:rPr>
          <w:rFonts w:ascii="Georgia" w:hAnsi="Georgia" w:cs="Georgia"/>
          <w:color w:val="313231"/>
          <w:u w:color="262626"/>
        </w:rPr>
        <w:t>9</w:t>
      </w:r>
      <w:proofErr w:type="gramEnd"/>
      <w:r w:rsidRPr="00755606">
        <w:rPr>
          <w:rFonts w:ascii="Georgia" w:hAnsi="Georgia" w:cs="Georgia"/>
          <w:color w:val="313231"/>
          <w:u w:color="262626"/>
        </w:rPr>
        <w:t xml:space="preserve"> volte il </w:t>
      </w:r>
      <w:proofErr w:type="spellStart"/>
      <w:r w:rsidRPr="00755606">
        <w:rPr>
          <w:rFonts w:ascii="Georgia" w:hAnsi="Georgia" w:cs="Georgia"/>
          <w:color w:val="313231"/>
          <w:u w:color="262626"/>
        </w:rPr>
        <w:t>Pil</w:t>
      </w:r>
      <w:proofErr w:type="spellEnd"/>
      <w:r w:rsidRPr="00755606">
        <w:rPr>
          <w:rFonts w:ascii="Georgia" w:hAnsi="Georgia" w:cs="Georgia"/>
          <w:color w:val="313231"/>
          <w:u w:color="262626"/>
        </w:rPr>
        <w:t xml:space="preserve"> dl pianeta. E che le </w:t>
      </w:r>
      <w:proofErr w:type="spellStart"/>
      <w:r w:rsidRPr="00755606">
        <w:rPr>
          <w:rFonts w:ascii="Georgia" w:hAnsi="Georgia" w:cs="Georgia"/>
          <w:color w:val="313231"/>
          <w:u w:color="262626"/>
        </w:rPr>
        <w:t>megabanche</w:t>
      </w:r>
      <w:proofErr w:type="spellEnd"/>
      <w:r w:rsidRPr="00755606">
        <w:rPr>
          <w:rFonts w:ascii="Georgia" w:hAnsi="Georgia" w:cs="Georgia"/>
          <w:color w:val="313231"/>
          <w:u w:color="262626"/>
        </w:rPr>
        <w:t xml:space="preserve"> che investono in questi strumenti lo fanno con una tale leva (con capitali propri così inferiori a quelli investiti in derivati</w:t>
      </w:r>
      <w:proofErr w:type="gramStart"/>
      <w:r w:rsidRPr="00755606">
        <w:rPr>
          <w:rFonts w:ascii="Georgia" w:hAnsi="Georgia" w:cs="Georgia"/>
          <w:color w:val="313231"/>
          <w:u w:color="262626"/>
        </w:rPr>
        <w:t xml:space="preserve"> )</w:t>
      </w:r>
      <w:proofErr w:type="gramEnd"/>
      <w:r w:rsidRPr="00755606">
        <w:rPr>
          <w:rFonts w:ascii="Georgia" w:hAnsi="Georgia" w:cs="Georgia"/>
          <w:color w:val="313231"/>
          <w:u w:color="262626"/>
        </w:rPr>
        <w:t xml:space="preserve">, che un perdita anche minima può far fallire la banca stessa, con prevedibili crolli a catena. Una bomba pronta </w:t>
      </w:r>
      <w:proofErr w:type="gramStart"/>
      <w:r w:rsidRPr="00755606">
        <w:rPr>
          <w:rFonts w:ascii="Georgia" w:hAnsi="Georgia" w:cs="Georgia"/>
          <w:color w:val="313231"/>
          <w:u w:color="262626"/>
        </w:rPr>
        <w:t>ad</w:t>
      </w:r>
      <w:proofErr w:type="gramEnd"/>
      <w:r w:rsidRPr="00755606">
        <w:rPr>
          <w:rFonts w:ascii="Georgia" w:hAnsi="Georgia" w:cs="Georgia"/>
          <w:color w:val="313231"/>
          <w:u w:color="262626"/>
        </w:rPr>
        <w:t xml:space="preserve"> esplodere. Ma questo è un </w:t>
      </w:r>
      <w:proofErr w:type="gramStart"/>
      <w:r w:rsidRPr="00755606">
        <w:rPr>
          <w:rFonts w:ascii="Georgia" w:hAnsi="Georgia" w:cs="Georgia"/>
          <w:color w:val="313231"/>
          <w:u w:color="262626"/>
        </w:rPr>
        <w:t>ulteriore</w:t>
      </w:r>
      <w:proofErr w:type="gramEnd"/>
      <w:r w:rsidRPr="00755606">
        <w:rPr>
          <w:rFonts w:ascii="Georgia" w:hAnsi="Georgia" w:cs="Georgia"/>
          <w:color w:val="313231"/>
          <w:u w:color="262626"/>
        </w:rPr>
        <w:t xml:space="preserve"> discorso, anche se la dice lunga sulla sostenibilità del sistema.  </w:t>
      </w:r>
    </w:p>
    <w:p w14:paraId="09A30D9F"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Ebbene, apprendiamo oggi che questi giochi si fanno in Europa non meno che negli Usa. Anzi</w:t>
      </w:r>
      <w:r w:rsidRPr="00755606">
        <w:rPr>
          <w:rFonts w:ascii="Georgia" w:hAnsi="Georgia" w:cs="Georgia"/>
          <w:color w:val="313231"/>
          <w:u w:color="262626"/>
        </w:rPr>
        <w:t xml:space="preserve">, in proporzione negli ultimi tempi si fanno </w:t>
      </w:r>
      <w:r w:rsidRPr="00755606">
        <w:rPr>
          <w:rFonts w:ascii="Georgia" w:hAnsi="Georgia" w:cs="Georgia"/>
          <w:b/>
          <w:bCs/>
          <w:color w:val="313231"/>
          <w:u w:color="262626"/>
        </w:rPr>
        <w:t>di più</w:t>
      </w:r>
      <w:r w:rsidRPr="00755606">
        <w:rPr>
          <w:rFonts w:ascii="Georgia" w:hAnsi="Georgia" w:cs="Georgia"/>
          <w:color w:val="313231"/>
          <w:u w:color="262626"/>
        </w:rPr>
        <w:t xml:space="preserve"> da questa parte dell’Atlantico che dall’altra.</w:t>
      </w:r>
      <w:proofErr w:type="gramStart"/>
      <w:r w:rsidRPr="00755606">
        <w:rPr>
          <w:rFonts w:ascii="Georgia" w:hAnsi="Georgia" w:cs="Georgia"/>
          <w:color w:val="313231"/>
          <w:u w:color="262626"/>
        </w:rPr>
        <w:t> </w:t>
      </w:r>
      <w:r w:rsidRPr="00755606">
        <w:rPr>
          <w:rFonts w:ascii="Georgia" w:hAnsi="Georgia" w:cs="Georgia"/>
          <w:b/>
          <w:bCs/>
          <w:color w:val="313231"/>
          <w:u w:color="262626"/>
        </w:rPr>
        <w:t>E</w:t>
      </w:r>
      <w:proofErr w:type="gramEnd"/>
      <w:r w:rsidRPr="00755606">
        <w:rPr>
          <w:rFonts w:ascii="Georgia" w:hAnsi="Georgia" w:cs="Georgia"/>
          <w:b/>
          <w:bCs/>
          <w:color w:val="313231"/>
          <w:u w:color="262626"/>
        </w:rPr>
        <w:t xml:space="preserve"> che negli Usa norme e controlli oggi sono addirittura più rigide </w:t>
      </w:r>
      <w:r w:rsidRPr="00755606">
        <w:rPr>
          <w:rFonts w:ascii="Georgia" w:hAnsi="Georgia" w:cs="Georgia"/>
          <w:color w:val="313231"/>
          <w:u w:color="262626"/>
        </w:rPr>
        <w:t xml:space="preserve">che nel Vecchio Continente. Tanto che le banche americane preferiscono giocare sulle piazze europee, e </w:t>
      </w:r>
      <w:proofErr w:type="gramStart"/>
      <w:r w:rsidRPr="00755606">
        <w:rPr>
          <w:rFonts w:ascii="Georgia" w:hAnsi="Georgia" w:cs="Georgia"/>
          <w:color w:val="313231"/>
          <w:u w:color="262626"/>
        </w:rPr>
        <w:t>paventano</w:t>
      </w:r>
      <w:proofErr w:type="gramEnd"/>
      <w:r w:rsidRPr="00755606">
        <w:rPr>
          <w:rFonts w:ascii="Georgia" w:hAnsi="Georgia" w:cs="Georgia"/>
          <w:color w:val="313231"/>
          <w:u w:color="262626"/>
        </w:rPr>
        <w:t xml:space="preserve"> l’estensione dei regolamenti Usa alle loro filiali estere.  </w:t>
      </w:r>
    </w:p>
    <w:p w14:paraId="4F4E50B9"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Da un recente studio di Mediobanca che gira anche sul web, emerge</w:t>
      </w:r>
      <w:proofErr w:type="gramStart"/>
      <w:r w:rsidRPr="00755606">
        <w:rPr>
          <w:rFonts w:ascii="Georgia" w:hAnsi="Georgia" w:cs="Georgia"/>
          <w:color w:val="313231"/>
          <w:u w:color="262626"/>
        </w:rPr>
        <w:t xml:space="preserve"> infatti</w:t>
      </w:r>
      <w:proofErr w:type="gramEnd"/>
      <w:r w:rsidRPr="00755606">
        <w:rPr>
          <w:rFonts w:ascii="Georgia" w:hAnsi="Georgia" w:cs="Georgia"/>
          <w:color w:val="313231"/>
          <w:u w:color="262626"/>
        </w:rPr>
        <w:t xml:space="preserve"> che </w:t>
      </w:r>
      <w:r w:rsidRPr="00755606">
        <w:rPr>
          <w:rFonts w:ascii="Georgia" w:hAnsi="Georgia" w:cs="Georgia"/>
          <w:b/>
          <w:bCs/>
          <w:color w:val="313231"/>
          <w:u w:color="262626"/>
        </w:rPr>
        <w:t>le 20 maggiori banche del continente detengono derivati per 5.854 miliardi di euro</w:t>
      </w:r>
      <w:r w:rsidRPr="00755606">
        <w:rPr>
          <w:rFonts w:ascii="Georgia" w:hAnsi="Georgia" w:cs="Georgia"/>
          <w:color w:val="313231"/>
          <w:u w:color="262626"/>
        </w:rPr>
        <w:t xml:space="preserve">, non di dollari: la metà del PIL europeo e 7 volte il patrimonio delle banche stesse. E </w:t>
      </w:r>
      <w:r w:rsidRPr="00755606">
        <w:rPr>
          <w:rFonts w:ascii="Georgia" w:hAnsi="Georgia" w:cs="Georgia"/>
          <w:b/>
          <w:bCs/>
          <w:color w:val="313231"/>
          <w:u w:color="262626"/>
        </w:rPr>
        <w:t>per il 97% si tratterebbe di derivati speculativi</w:t>
      </w:r>
      <w:r w:rsidRPr="00755606">
        <w:rPr>
          <w:rFonts w:ascii="Georgia" w:hAnsi="Georgia" w:cs="Georgia"/>
          <w:color w:val="313231"/>
          <w:u w:color="262626"/>
        </w:rPr>
        <w:t>.</w:t>
      </w:r>
      <w:proofErr w:type="gramStart"/>
      <w:r w:rsidRPr="00755606">
        <w:rPr>
          <w:rFonts w:ascii="Georgia" w:hAnsi="Georgia" w:cs="Georgia"/>
          <w:color w:val="313231"/>
          <w:u w:color="262626"/>
        </w:rPr>
        <w:t>  </w:t>
      </w:r>
      <w:proofErr w:type="gramEnd"/>
    </w:p>
    <w:p w14:paraId="0A7B9962"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Soprattutto, </w:t>
      </w:r>
      <w:r w:rsidRPr="00755606">
        <w:rPr>
          <w:rFonts w:ascii="Georgia" w:hAnsi="Georgia" w:cs="Georgia"/>
          <w:b/>
          <w:bCs/>
          <w:color w:val="313231"/>
          <w:u w:color="262626"/>
        </w:rPr>
        <w:t>nell’ultimo anno tali banche hanno continuato a togliere soldi dai titoli di Stato dei vari paesi Ue per investirli in questi strumenti rischiosi, e dannosi</w:t>
      </w:r>
      <w:r w:rsidRPr="00755606">
        <w:rPr>
          <w:rFonts w:ascii="Georgia" w:hAnsi="Georgia" w:cs="Georgia"/>
          <w:color w:val="313231"/>
          <w:u w:color="262626"/>
        </w:rPr>
        <w:t>.</w:t>
      </w:r>
      <w:proofErr w:type="gramStart"/>
      <w:r w:rsidRPr="00755606">
        <w:rPr>
          <w:rFonts w:ascii="Georgia" w:hAnsi="Georgia" w:cs="Georgia"/>
          <w:color w:val="313231"/>
          <w:u w:color="262626"/>
        </w:rPr>
        <w:t> Se</w:t>
      </w:r>
      <w:proofErr w:type="gramEnd"/>
      <w:r w:rsidRPr="00755606">
        <w:rPr>
          <w:rFonts w:ascii="Georgia" w:hAnsi="Georgia" w:cs="Georgia"/>
          <w:color w:val="313231"/>
          <w:u w:color="262626"/>
        </w:rPr>
        <w:t xml:space="preserve"> nel 2010 le </w:t>
      </w:r>
      <w:proofErr w:type="spellStart"/>
      <w:r w:rsidRPr="00755606">
        <w:rPr>
          <w:rFonts w:ascii="Georgia" w:hAnsi="Georgia" w:cs="Georgia"/>
          <w:color w:val="313231"/>
          <w:u w:color="262626"/>
        </w:rPr>
        <w:t>megabanche</w:t>
      </w:r>
      <w:proofErr w:type="spellEnd"/>
      <w:r w:rsidRPr="00755606">
        <w:rPr>
          <w:rFonts w:ascii="Georgia" w:hAnsi="Georgia" w:cs="Georgia"/>
          <w:color w:val="313231"/>
          <w:u w:color="262626"/>
        </w:rPr>
        <w:t xml:space="preserve"> europee detenevano titoli pubblici per un valore pari al 48,1% del PIL europeo, nel 2011 questi sono scesi al 40,9%. Mentre </w:t>
      </w:r>
      <w:proofErr w:type="gramStart"/>
      <w:r w:rsidRPr="00755606">
        <w:rPr>
          <w:rFonts w:ascii="Georgia" w:hAnsi="Georgia" w:cs="Georgia"/>
          <w:color w:val="313231"/>
          <w:u w:color="262626"/>
        </w:rPr>
        <w:t>la quota derivati</w:t>
      </w:r>
      <w:proofErr w:type="gramEnd"/>
      <w:r w:rsidRPr="00755606">
        <w:rPr>
          <w:rFonts w:ascii="Georgia" w:hAnsi="Georgia" w:cs="Georgia"/>
          <w:color w:val="313231"/>
          <w:u w:color="262626"/>
        </w:rPr>
        <w:t xml:space="preserve"> è passata dal 41,3% al 53,2%. Una </w:t>
      </w:r>
      <w:proofErr w:type="spellStart"/>
      <w:r w:rsidRPr="00755606">
        <w:rPr>
          <w:rFonts w:ascii="Georgia" w:hAnsi="Georgia" w:cs="Georgia"/>
          <w:color w:val="313231"/>
          <w:u w:color="262626"/>
        </w:rPr>
        <w:t>crescita</w:t>
      </w:r>
      <w:proofErr w:type="gramStart"/>
      <w:r w:rsidRPr="00755606">
        <w:rPr>
          <w:rFonts w:ascii="Georgia" w:hAnsi="Georgia" w:cs="Georgia"/>
          <w:color w:val="313231"/>
          <w:u w:color="262626"/>
        </w:rPr>
        <w:t>,</w:t>
      </w:r>
      <w:proofErr w:type="gramEnd"/>
      <w:r w:rsidRPr="00755606">
        <w:rPr>
          <w:rFonts w:ascii="Georgia" w:hAnsi="Georgia" w:cs="Georgia"/>
          <w:color w:val="313231"/>
          <w:u w:color="262626"/>
        </w:rPr>
        <w:t>e</w:t>
      </w:r>
      <w:proofErr w:type="spellEnd"/>
      <w:r w:rsidRPr="00755606">
        <w:rPr>
          <w:rFonts w:ascii="Georgia" w:hAnsi="Georgia" w:cs="Georgia"/>
          <w:color w:val="313231"/>
          <w:u w:color="262626"/>
        </w:rPr>
        <w:t xml:space="preserve"> una proporzione al PIL, superiore a quella che si registra nelle 7 </w:t>
      </w:r>
      <w:proofErr w:type="spellStart"/>
      <w:r w:rsidRPr="00755606">
        <w:rPr>
          <w:rFonts w:ascii="Georgia" w:hAnsi="Georgia" w:cs="Georgia"/>
          <w:color w:val="313231"/>
          <w:u w:color="262626"/>
        </w:rPr>
        <w:t>megabanche</w:t>
      </w:r>
      <w:proofErr w:type="spellEnd"/>
      <w:r w:rsidRPr="00755606">
        <w:rPr>
          <w:rFonts w:ascii="Georgia" w:hAnsi="Georgia" w:cs="Georgia"/>
          <w:color w:val="313231"/>
          <w:u w:color="262626"/>
        </w:rPr>
        <w:t xml:space="preserve"> americane (da 3.886 4.954 miliardi di dollari, vi risparmiamo le percentuali in rapporto al PIL Usa, ma nel computo rientrano anche filiali estere di banche europee).  </w:t>
      </w:r>
    </w:p>
    <w:p w14:paraId="42B805B7"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 xml:space="preserve">Due terzi dei derivati in pancia alle banche europee sono </w:t>
      </w:r>
      <w:proofErr w:type="gramStart"/>
      <w:r w:rsidRPr="00755606">
        <w:rPr>
          <w:rFonts w:ascii="Georgia" w:hAnsi="Georgia" w:cs="Georgia"/>
          <w:b/>
          <w:bCs/>
          <w:color w:val="313231"/>
          <w:u w:color="262626"/>
        </w:rPr>
        <w:t>scommesse</w:t>
      </w:r>
      <w:proofErr w:type="gramEnd"/>
      <w:r w:rsidRPr="00755606">
        <w:rPr>
          <w:rFonts w:ascii="Georgia" w:hAnsi="Georgia" w:cs="Georgia"/>
          <w:b/>
          <w:bCs/>
          <w:color w:val="313231"/>
          <w:u w:color="262626"/>
        </w:rPr>
        <w:t xml:space="preserve"> sui tassi di interesse, </w:t>
      </w:r>
      <w:r w:rsidRPr="00755606">
        <w:rPr>
          <w:rFonts w:ascii="Georgia" w:hAnsi="Georgia" w:cs="Georgia"/>
          <w:color w:val="313231"/>
          <w:u w:color="262626"/>
        </w:rPr>
        <w:t xml:space="preserve">secondo lo studio Mediobanca. </w:t>
      </w:r>
      <w:proofErr w:type="gramStart"/>
      <w:r w:rsidRPr="00755606">
        <w:rPr>
          <w:rFonts w:ascii="Georgia" w:hAnsi="Georgia" w:cs="Georgia"/>
          <w:color w:val="313231"/>
          <w:u w:color="262626"/>
        </w:rPr>
        <w:t>Per cifre molto superiori ai titoli di tutti i debiti sovrani della cosiddetta Europa Periferica (Grecia, Spagna, Portogallo, Italia) detenu</w:t>
      </w:r>
      <w:proofErr w:type="gramEnd"/>
      <w:r w:rsidRPr="00755606">
        <w:rPr>
          <w:rFonts w:ascii="Georgia" w:hAnsi="Georgia" w:cs="Georgia"/>
          <w:color w:val="313231"/>
          <w:u w:color="262626"/>
        </w:rPr>
        <w:t xml:space="preserve">ti dalle medesime banche. Le Banche </w:t>
      </w:r>
      <w:proofErr w:type="gramStart"/>
      <w:r w:rsidRPr="00755606">
        <w:rPr>
          <w:rFonts w:ascii="Georgia" w:hAnsi="Georgia" w:cs="Georgia"/>
          <w:color w:val="313231"/>
          <w:u w:color="262626"/>
        </w:rPr>
        <w:t>agiscono</w:t>
      </w:r>
      <w:proofErr w:type="gramEnd"/>
      <w:r w:rsidRPr="00755606">
        <w:rPr>
          <w:rFonts w:ascii="Georgia" w:hAnsi="Georgia" w:cs="Georgia"/>
          <w:color w:val="313231"/>
          <w:u w:color="262626"/>
        </w:rPr>
        <w:t xml:space="preserve"> così per aggirare le nuove regole (Basilea 3) che, per controllare i rischi sistemici, impongono loro di avere più capitali propri in rapporto a quelli investiti. Mentre i derivati non </w:t>
      </w:r>
      <w:proofErr w:type="gramStart"/>
      <w:r w:rsidRPr="00755606">
        <w:rPr>
          <w:rFonts w:ascii="Georgia" w:hAnsi="Georgia" w:cs="Georgia"/>
          <w:color w:val="313231"/>
          <w:u w:color="262626"/>
        </w:rPr>
        <w:t>vengono</w:t>
      </w:r>
      <w:proofErr w:type="gramEnd"/>
      <w:r w:rsidRPr="00755606">
        <w:rPr>
          <w:rFonts w:ascii="Georgia" w:hAnsi="Georgia" w:cs="Georgia"/>
          <w:color w:val="313231"/>
          <w:u w:color="262626"/>
        </w:rPr>
        <w:t xml:space="preserve"> conteggiati, viene spiegato. Anche se sono i più rischiosi, ma anche i più remunerativi.   </w:t>
      </w:r>
    </w:p>
    <w:p w14:paraId="28C01167"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Bella storia, e </w:t>
      </w:r>
      <w:proofErr w:type="gramStart"/>
      <w:r w:rsidRPr="00755606">
        <w:rPr>
          <w:rFonts w:ascii="Georgia" w:hAnsi="Georgia" w:cs="Georgia"/>
          <w:color w:val="313231"/>
          <w:u w:color="262626"/>
        </w:rPr>
        <w:t>bella</w:t>
      </w:r>
      <w:proofErr w:type="gramEnd"/>
      <w:r w:rsidRPr="00755606">
        <w:rPr>
          <w:rFonts w:ascii="Georgia" w:hAnsi="Georgia" w:cs="Georgia"/>
          <w:color w:val="313231"/>
          <w:u w:color="262626"/>
        </w:rPr>
        <w:t xml:space="preserve"> solidarietà. </w:t>
      </w:r>
    </w:p>
    <w:p w14:paraId="6B6860AD"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E quali banche si sono buttate più a capofitto in questo insano business?</w:t>
      </w:r>
      <w:proofErr w:type="gramStart"/>
      <w:r w:rsidRPr="00755606">
        <w:rPr>
          <w:rFonts w:ascii="Georgia" w:hAnsi="Georgia" w:cs="Georgia"/>
          <w:color w:val="313231"/>
          <w:u w:color="262626"/>
        </w:rPr>
        <w:t> </w:t>
      </w:r>
      <w:proofErr w:type="gramEnd"/>
    </w:p>
    <w:p w14:paraId="1E51B8E6"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w:t>
      </w:r>
      <w:r w:rsidRPr="00755606">
        <w:rPr>
          <w:rFonts w:ascii="Georgia" w:hAnsi="Georgia" w:cs="Georgia"/>
          <w:b/>
          <w:bCs/>
          <w:color w:val="313231"/>
          <w:u w:color="262626"/>
        </w:rPr>
        <w:t>Come paesi, svettano Svizzera e Gran Bretagna</w:t>
      </w:r>
      <w:r w:rsidRPr="00755606">
        <w:rPr>
          <w:rFonts w:ascii="Georgia" w:hAnsi="Georgia" w:cs="Georgia"/>
          <w:color w:val="313231"/>
          <w:u w:color="262626"/>
        </w:rPr>
        <w:t xml:space="preserve"> (254% e 106.2% del </w:t>
      </w:r>
      <w:proofErr w:type="spellStart"/>
      <w:r w:rsidRPr="00755606">
        <w:rPr>
          <w:rFonts w:ascii="Georgia" w:hAnsi="Georgia" w:cs="Georgia"/>
          <w:color w:val="313231"/>
          <w:u w:color="262626"/>
        </w:rPr>
        <w:t>Pil</w:t>
      </w:r>
      <w:proofErr w:type="spellEnd"/>
      <w:r w:rsidRPr="00755606">
        <w:rPr>
          <w:rFonts w:ascii="Georgia" w:hAnsi="Georgia" w:cs="Georgia"/>
          <w:color w:val="313231"/>
          <w:u w:color="262626"/>
        </w:rPr>
        <w:t xml:space="preserve"> europeo, rispettivamente). In testa le solite banche, che arrivano a detenere oltre 700 miliardi (Credit </w:t>
      </w:r>
      <w:proofErr w:type="spellStart"/>
      <w:r w:rsidRPr="00755606">
        <w:rPr>
          <w:rFonts w:ascii="Georgia" w:hAnsi="Georgia" w:cs="Georgia"/>
          <w:color w:val="313231"/>
          <w:u w:color="262626"/>
        </w:rPr>
        <w:t>Suisse</w:t>
      </w:r>
      <w:proofErr w:type="spellEnd"/>
      <w:r w:rsidRPr="00755606">
        <w:rPr>
          <w:rFonts w:ascii="Georgia" w:hAnsi="Georgia" w:cs="Georgia"/>
          <w:color w:val="313231"/>
          <w:u w:color="262626"/>
        </w:rPr>
        <w:t xml:space="preserve">), o poco meno (le inglesi Barclays, a quota 645 e la salvata e nazionalizzata RBS, 630), mentre un’altra </w:t>
      </w:r>
      <w:proofErr w:type="spellStart"/>
      <w:r w:rsidRPr="00755606">
        <w:rPr>
          <w:rFonts w:ascii="Georgia" w:hAnsi="Georgia" w:cs="Georgia"/>
          <w:color w:val="313231"/>
          <w:u w:color="262626"/>
        </w:rPr>
        <w:t>megabanca</w:t>
      </w:r>
      <w:proofErr w:type="spellEnd"/>
      <w:r w:rsidRPr="00755606">
        <w:rPr>
          <w:rFonts w:ascii="Georgia" w:hAnsi="Georgia" w:cs="Georgia"/>
          <w:color w:val="313231"/>
          <w:u w:color="262626"/>
        </w:rPr>
        <w:t xml:space="preserve"> </w:t>
      </w:r>
      <w:proofErr w:type="spellStart"/>
      <w:r w:rsidRPr="00755606">
        <w:rPr>
          <w:rFonts w:ascii="Georgia" w:hAnsi="Georgia" w:cs="Georgia"/>
          <w:color w:val="313231"/>
          <w:u w:color="262626"/>
        </w:rPr>
        <w:t>british</w:t>
      </w:r>
      <w:proofErr w:type="spellEnd"/>
      <w:r w:rsidRPr="00755606">
        <w:rPr>
          <w:rFonts w:ascii="Georgia" w:hAnsi="Georgia" w:cs="Georgia"/>
          <w:color w:val="313231"/>
          <w:u w:color="262626"/>
        </w:rPr>
        <w:t xml:space="preserve">, HSBC, ne ha per 489 miliardi, la Svizzera </w:t>
      </w:r>
      <w:proofErr w:type="spellStart"/>
      <w:r w:rsidRPr="00755606">
        <w:rPr>
          <w:rFonts w:ascii="Georgia" w:hAnsi="Georgia" w:cs="Georgia"/>
          <w:color w:val="313231"/>
          <w:u w:color="262626"/>
        </w:rPr>
        <w:t>Ubs</w:t>
      </w:r>
      <w:proofErr w:type="spellEnd"/>
      <w:r w:rsidRPr="00755606">
        <w:rPr>
          <w:rFonts w:ascii="Georgia" w:hAnsi="Georgia" w:cs="Georgia"/>
          <w:color w:val="313231"/>
          <w:u w:color="262626"/>
        </w:rPr>
        <w:t xml:space="preserve"> per 400. E non stupisce: Svizzera e City sono da sempre i luoghi della speculazione. Ma almeno non sono paesi euro (la Svizzera da </w:t>
      </w:r>
      <w:proofErr w:type="gramStart"/>
      <w:r w:rsidRPr="00755606">
        <w:rPr>
          <w:rFonts w:ascii="Georgia" w:hAnsi="Georgia" w:cs="Georgia"/>
          <w:color w:val="313231"/>
          <w:u w:color="262626"/>
        </w:rPr>
        <w:t>2</w:t>
      </w:r>
      <w:proofErr w:type="gramEnd"/>
      <w:r w:rsidRPr="00755606">
        <w:rPr>
          <w:rFonts w:ascii="Georgia" w:hAnsi="Georgia" w:cs="Georgia"/>
          <w:color w:val="313231"/>
          <w:u w:color="262626"/>
        </w:rPr>
        <w:t xml:space="preserve"> mesi ha proibito alle proprie banche operazioni coi derivati, Londra si opporrà fino alla morte: la finanza rappresenta il 10% del suo </w:t>
      </w:r>
      <w:proofErr w:type="spellStart"/>
      <w:r w:rsidRPr="00755606">
        <w:rPr>
          <w:rFonts w:ascii="Georgia" w:hAnsi="Georgia" w:cs="Georgia"/>
          <w:color w:val="313231"/>
          <w:u w:color="262626"/>
        </w:rPr>
        <w:t>Pil</w:t>
      </w:r>
      <w:proofErr w:type="spellEnd"/>
      <w:r w:rsidRPr="00755606">
        <w:rPr>
          <w:rFonts w:ascii="Georgia" w:hAnsi="Georgia" w:cs="Georgia"/>
          <w:color w:val="313231"/>
          <w:u w:color="262626"/>
        </w:rPr>
        <w:t>).  </w:t>
      </w:r>
    </w:p>
    <w:p w14:paraId="402F0055"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A ruota seguono però proprio due paesi dell’Eurozona</w:t>
      </w:r>
      <w:proofErr w:type="gramStart"/>
      <w:r w:rsidRPr="00755606">
        <w:rPr>
          <w:rFonts w:ascii="Georgia" w:hAnsi="Georgia" w:cs="Georgia"/>
          <w:b/>
          <w:bCs/>
          <w:color w:val="313231"/>
          <w:u w:color="262626"/>
        </w:rPr>
        <w:t xml:space="preserve"> :</w:t>
      </w:r>
      <w:proofErr w:type="gramEnd"/>
      <w:r w:rsidRPr="00755606">
        <w:rPr>
          <w:rFonts w:ascii="Georgia" w:hAnsi="Georgia" w:cs="Georgia"/>
          <w:b/>
          <w:bCs/>
          <w:color w:val="313231"/>
          <w:u w:color="262626"/>
        </w:rPr>
        <w:t xml:space="preserve"> Francia e Germania</w:t>
      </w:r>
      <w:r w:rsidRPr="00755606">
        <w:rPr>
          <w:rFonts w:ascii="Georgia" w:hAnsi="Georgia" w:cs="Georgia"/>
          <w:color w:val="313231"/>
          <w:u w:color="262626"/>
        </w:rPr>
        <w:t xml:space="preserve">. La prima, con ben </w:t>
      </w:r>
      <w:proofErr w:type="gramStart"/>
      <w:r w:rsidRPr="00755606">
        <w:rPr>
          <w:rFonts w:ascii="Georgia" w:hAnsi="Georgia" w:cs="Georgia"/>
          <w:color w:val="313231"/>
          <w:u w:color="262626"/>
        </w:rPr>
        <w:t>4</w:t>
      </w:r>
      <w:proofErr w:type="gramEnd"/>
      <w:r w:rsidRPr="00755606">
        <w:rPr>
          <w:rFonts w:ascii="Georgia" w:hAnsi="Georgia" w:cs="Georgia"/>
          <w:color w:val="313231"/>
          <w:u w:color="262626"/>
        </w:rPr>
        <w:t xml:space="preserve"> grandi banche “attive” del giro derivati, nel complesso ne detiene più della seconda. Alla quale spetta tuttavia la palma d’oro per la </w:t>
      </w:r>
      <w:proofErr w:type="spellStart"/>
      <w:r w:rsidRPr="00755606">
        <w:rPr>
          <w:rFonts w:ascii="Georgia" w:hAnsi="Georgia" w:cs="Georgia"/>
          <w:color w:val="313231"/>
          <w:u w:color="262626"/>
        </w:rPr>
        <w:t>megabanca</w:t>
      </w:r>
      <w:proofErr w:type="spellEnd"/>
      <w:r w:rsidRPr="00755606">
        <w:rPr>
          <w:rFonts w:ascii="Georgia" w:hAnsi="Georgia" w:cs="Georgia"/>
          <w:color w:val="313231"/>
          <w:u w:color="262626"/>
        </w:rPr>
        <w:t xml:space="preserve"> che in assoluto ne ha di più: si tratta del colosso tedesco </w:t>
      </w:r>
      <w:proofErr w:type="spellStart"/>
      <w:r w:rsidRPr="00755606">
        <w:rPr>
          <w:rFonts w:ascii="Georgia" w:hAnsi="Georgia" w:cs="Georgia"/>
          <w:b/>
          <w:bCs/>
          <w:color w:val="313231"/>
          <w:u w:color="262626"/>
        </w:rPr>
        <w:t>Deutsche</w:t>
      </w:r>
      <w:proofErr w:type="spellEnd"/>
      <w:r w:rsidRPr="00755606">
        <w:rPr>
          <w:rFonts w:ascii="Georgia" w:hAnsi="Georgia" w:cs="Georgia"/>
          <w:b/>
          <w:bCs/>
          <w:color w:val="313231"/>
          <w:u w:color="262626"/>
        </w:rPr>
        <w:t xml:space="preserve"> </w:t>
      </w:r>
      <w:proofErr w:type="spellStart"/>
      <w:r w:rsidRPr="00755606">
        <w:rPr>
          <w:rFonts w:ascii="Georgia" w:hAnsi="Georgia" w:cs="Georgia"/>
          <w:b/>
          <w:bCs/>
          <w:color w:val="313231"/>
          <w:u w:color="262626"/>
        </w:rPr>
        <w:t>Bank</w:t>
      </w:r>
      <w:proofErr w:type="spellEnd"/>
      <w:r w:rsidRPr="00755606">
        <w:rPr>
          <w:rFonts w:ascii="Georgia" w:hAnsi="Georgia" w:cs="Georgia"/>
          <w:b/>
          <w:bCs/>
          <w:color w:val="313231"/>
          <w:u w:color="262626"/>
        </w:rPr>
        <w:t>, che ne ha per ben 860 miliardi di euro</w:t>
      </w:r>
      <w:r w:rsidRPr="00755606">
        <w:rPr>
          <w:rFonts w:ascii="Georgia" w:hAnsi="Georgia" w:cs="Georgia"/>
          <w:color w:val="313231"/>
          <w:u w:color="262626"/>
        </w:rPr>
        <w:t>.</w:t>
      </w:r>
      <w:proofErr w:type="gramStart"/>
      <w:r w:rsidRPr="00755606">
        <w:rPr>
          <w:rFonts w:ascii="Georgia" w:hAnsi="Georgia" w:cs="Georgia"/>
          <w:color w:val="313231"/>
          <w:u w:color="262626"/>
        </w:rPr>
        <w:t> </w:t>
      </w:r>
      <w:proofErr w:type="gramEnd"/>
    </w:p>
    <w:p w14:paraId="662CA03B"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Altri paesi come l’Olanda </w:t>
      </w:r>
      <w:proofErr w:type="gramStart"/>
      <w:r w:rsidRPr="00755606">
        <w:rPr>
          <w:rFonts w:ascii="Georgia" w:hAnsi="Georgia" w:cs="Georgia"/>
          <w:color w:val="313231"/>
          <w:u w:color="262626"/>
        </w:rPr>
        <w:t>vengono</w:t>
      </w:r>
      <w:proofErr w:type="gramEnd"/>
      <w:r w:rsidRPr="00755606">
        <w:rPr>
          <w:rFonts w:ascii="Georgia" w:hAnsi="Georgia" w:cs="Georgia"/>
          <w:color w:val="313231"/>
          <w:u w:color="262626"/>
        </w:rPr>
        <w:t xml:space="preserve"> dopo, mentre le banche italiane e spagnole ne hanno per cifre “minime”(117 miliardi Unicredit, 52 Intesa, che non a caso vengono solitamente definite “più sane”).   </w:t>
      </w:r>
    </w:p>
    <w:p w14:paraId="590BF217"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Nello studio Mediobanca però sembrano mancare le filiali di banche americane</w:t>
      </w:r>
      <w:r w:rsidRPr="00755606">
        <w:rPr>
          <w:rFonts w:ascii="Georgia" w:hAnsi="Georgia" w:cs="Georgia"/>
          <w:color w:val="313231"/>
          <w:u w:color="262626"/>
        </w:rPr>
        <w:t xml:space="preserve">. Che speculano alla grande proprio sull’Europa, e in Europa. </w:t>
      </w:r>
      <w:proofErr w:type="gramStart"/>
      <w:r w:rsidRPr="00755606">
        <w:rPr>
          <w:rFonts w:ascii="Georgia" w:hAnsi="Georgia" w:cs="Georgia"/>
          <w:color w:val="313231"/>
          <w:u w:color="262626"/>
        </w:rPr>
        <w:t>Approfittando delle regole più favorevoli della City e dei controlli ancora minori che a casa loro</w:t>
      </w:r>
      <w:proofErr w:type="gramEnd"/>
      <w:r w:rsidRPr="00755606">
        <w:rPr>
          <w:rFonts w:ascii="Georgia" w:hAnsi="Georgia" w:cs="Georgia"/>
          <w:color w:val="313231"/>
          <w:u w:color="262626"/>
        </w:rPr>
        <w:t xml:space="preserve">. Come si è visto nei recenti casi di MF Global e soprattutto della filiale londinese di JP Morgan. La cui perdita di “almeno” 2 miliardi di dollari </w:t>
      </w:r>
      <w:proofErr w:type="gramStart"/>
      <w:r w:rsidRPr="00755606">
        <w:rPr>
          <w:rFonts w:ascii="Georgia" w:hAnsi="Georgia" w:cs="Georgia"/>
          <w:color w:val="313231"/>
          <w:u w:color="262626"/>
        </w:rPr>
        <w:t>ha</w:t>
      </w:r>
      <w:proofErr w:type="gramEnd"/>
      <w:r w:rsidRPr="00755606">
        <w:rPr>
          <w:rFonts w:ascii="Georgia" w:hAnsi="Georgia" w:cs="Georgia"/>
          <w:color w:val="313231"/>
          <w:u w:color="262626"/>
        </w:rPr>
        <w:t xml:space="preserve"> rinnovato negli Usa il dibattito sulle banche troppo-grandi-per-fallire e sulle regole del gioco.  </w:t>
      </w:r>
    </w:p>
    <w:p w14:paraId="3A534375"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 xml:space="preserve">Regole che le </w:t>
      </w:r>
      <w:proofErr w:type="spellStart"/>
      <w:r w:rsidRPr="00755606">
        <w:rPr>
          <w:rFonts w:ascii="Georgia" w:hAnsi="Georgia" w:cs="Georgia"/>
          <w:b/>
          <w:bCs/>
          <w:color w:val="313231"/>
          <w:u w:color="262626"/>
        </w:rPr>
        <w:t>megabanche</w:t>
      </w:r>
      <w:proofErr w:type="spellEnd"/>
      <w:r w:rsidRPr="00755606">
        <w:rPr>
          <w:rFonts w:ascii="Georgia" w:hAnsi="Georgia" w:cs="Georgia"/>
          <w:b/>
          <w:bCs/>
          <w:color w:val="313231"/>
          <w:u w:color="262626"/>
        </w:rPr>
        <w:t xml:space="preserve"> rifiutano</w:t>
      </w:r>
      <w:r w:rsidRPr="00755606">
        <w:rPr>
          <w:rFonts w:ascii="Georgia" w:hAnsi="Georgia" w:cs="Georgia"/>
          <w:color w:val="313231"/>
          <w:u w:color="262626"/>
        </w:rPr>
        <w:t xml:space="preserve">. Ne parla l’ultimo post (19/6) di Robert Reich, economista politico americano, prof a Berkeley, autore, commentatore, che ha lavorato con tre presidenti (con Clinton era Segretario al Lavoro). Reich racconta che recentemente, quando la Commissione sul trading dei </w:t>
      </w:r>
      <w:proofErr w:type="spellStart"/>
      <w:r w:rsidRPr="00755606">
        <w:rPr>
          <w:rFonts w:ascii="Georgia" w:hAnsi="Georgia" w:cs="Georgia"/>
          <w:color w:val="313231"/>
          <w:u w:color="262626"/>
        </w:rPr>
        <w:t>futures</w:t>
      </w:r>
      <w:proofErr w:type="spellEnd"/>
      <w:r w:rsidRPr="00755606">
        <w:rPr>
          <w:rFonts w:ascii="Georgia" w:hAnsi="Georgia" w:cs="Georgia"/>
          <w:color w:val="313231"/>
          <w:u w:color="262626"/>
        </w:rPr>
        <w:t xml:space="preserve"> (CFTC) che regola i </w:t>
      </w:r>
      <w:proofErr w:type="gramStart"/>
      <w:r w:rsidRPr="00755606">
        <w:rPr>
          <w:rFonts w:ascii="Georgia" w:hAnsi="Georgia" w:cs="Georgia"/>
          <w:color w:val="313231"/>
          <w:u w:color="262626"/>
        </w:rPr>
        <w:t>derivati ha</w:t>
      </w:r>
      <w:proofErr w:type="gramEnd"/>
      <w:r w:rsidRPr="00755606">
        <w:rPr>
          <w:rFonts w:ascii="Georgia" w:hAnsi="Georgia" w:cs="Georgia"/>
          <w:color w:val="313231"/>
          <w:u w:color="262626"/>
        </w:rPr>
        <w:t xml:space="preserve"> proposto di estendere le regole vigenti negli Usa alle filiali estere delle banche di </w:t>
      </w:r>
      <w:proofErr w:type="spellStart"/>
      <w:r w:rsidRPr="00755606">
        <w:rPr>
          <w:rFonts w:ascii="Georgia" w:hAnsi="Georgia" w:cs="Georgia"/>
          <w:color w:val="313231"/>
          <w:u w:color="262626"/>
        </w:rPr>
        <w:t>Wall</w:t>
      </w:r>
      <w:proofErr w:type="spellEnd"/>
      <w:r w:rsidRPr="00755606">
        <w:rPr>
          <w:rFonts w:ascii="Georgia" w:hAnsi="Georgia" w:cs="Georgia"/>
          <w:color w:val="313231"/>
          <w:u w:color="262626"/>
        </w:rPr>
        <w:t xml:space="preserve"> Street, queste hanno replicato che avrebbero perso business a favore di banche di nazioni con regole più lasche. “La </w:t>
      </w:r>
      <w:proofErr w:type="spellStart"/>
      <w:r w:rsidRPr="00755606">
        <w:rPr>
          <w:rFonts w:ascii="Georgia" w:hAnsi="Georgia" w:cs="Georgia"/>
          <w:color w:val="313231"/>
          <w:u w:color="262626"/>
        </w:rPr>
        <w:t>Deutsche</w:t>
      </w:r>
      <w:proofErr w:type="spellEnd"/>
      <w:r w:rsidRPr="00755606">
        <w:rPr>
          <w:rFonts w:ascii="Georgia" w:hAnsi="Georgia" w:cs="Georgia"/>
          <w:color w:val="313231"/>
          <w:u w:color="262626"/>
        </w:rPr>
        <w:t xml:space="preserve"> </w:t>
      </w:r>
      <w:proofErr w:type="spellStart"/>
      <w:r w:rsidRPr="00755606">
        <w:rPr>
          <w:rFonts w:ascii="Georgia" w:hAnsi="Georgia" w:cs="Georgia"/>
          <w:color w:val="313231"/>
          <w:u w:color="262626"/>
        </w:rPr>
        <w:t>Bank</w:t>
      </w:r>
      <w:proofErr w:type="spellEnd"/>
      <w:r w:rsidRPr="00755606">
        <w:rPr>
          <w:rFonts w:ascii="Georgia" w:hAnsi="Georgia" w:cs="Georgia"/>
          <w:color w:val="313231"/>
          <w:u w:color="262626"/>
        </w:rPr>
        <w:t xml:space="preserve"> farebbe affari migliori di noi” ha risposto il capo di JP Morgan. Tradotto: ci muoveremmo ancora di più su Londra e Francoforte.</w:t>
      </w:r>
      <w:proofErr w:type="gramStart"/>
      <w:r w:rsidRPr="00755606">
        <w:rPr>
          <w:rFonts w:ascii="Georgia" w:hAnsi="Georgia" w:cs="Georgia"/>
          <w:color w:val="313231"/>
          <w:u w:color="262626"/>
        </w:rPr>
        <w:t>  </w:t>
      </w:r>
      <w:proofErr w:type="gramEnd"/>
    </w:p>
    <w:p w14:paraId="274FB6F2"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Nel frattempo - è sempre Reich -</w:t>
      </w:r>
      <w:r w:rsidRPr="00755606">
        <w:rPr>
          <w:rFonts w:ascii="Georgia" w:hAnsi="Georgia" w:cs="Georgia"/>
          <w:b/>
          <w:bCs/>
          <w:color w:val="313231"/>
          <w:u w:color="262626"/>
        </w:rPr>
        <w:t xml:space="preserve"> le banche Usa stanno minacciando gli europei </w:t>
      </w:r>
      <w:r w:rsidRPr="00755606">
        <w:rPr>
          <w:rFonts w:ascii="Georgia" w:hAnsi="Georgia" w:cs="Georgia"/>
          <w:color w:val="313231"/>
          <w:u w:color="262626"/>
        </w:rPr>
        <w:t>che, se rendono le loro regole più severe, lasceranno il campo, andandosene dove c’è più libertà di movimento.</w:t>
      </w:r>
      <w:proofErr w:type="gramStart"/>
      <w:r w:rsidRPr="00755606">
        <w:rPr>
          <w:rFonts w:ascii="Georgia" w:hAnsi="Georgia" w:cs="Georgia"/>
          <w:color w:val="313231"/>
          <w:u w:color="262626"/>
        </w:rPr>
        <w:t>  </w:t>
      </w:r>
      <w:proofErr w:type="gramEnd"/>
    </w:p>
    <w:p w14:paraId="382A3AC8"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Le solite minacce</w:t>
      </w:r>
      <w:r w:rsidRPr="00755606">
        <w:rPr>
          <w:rFonts w:ascii="Georgia" w:hAnsi="Georgia" w:cs="Georgia"/>
          <w:color w:val="313231"/>
          <w:u w:color="262626"/>
        </w:rPr>
        <w:t xml:space="preserve">. “Le operazioni possono essere spostate globalmente e il capitale può essere accessibile globalmente”, ha detto in una recente conferenza il capo di Goldman Sachs (ammettendo che la sua banca è molto interessata all’Europa, più della metà dei suoi affari ormai sono generati fuori dagli Usa). In sostanza Goldman, e le altre </w:t>
      </w:r>
      <w:proofErr w:type="spellStart"/>
      <w:r w:rsidRPr="00755606">
        <w:rPr>
          <w:rFonts w:ascii="Georgia" w:hAnsi="Georgia" w:cs="Georgia"/>
          <w:color w:val="313231"/>
          <w:u w:color="262626"/>
        </w:rPr>
        <w:t>megabanche</w:t>
      </w:r>
      <w:proofErr w:type="spellEnd"/>
      <w:r w:rsidRPr="00755606">
        <w:rPr>
          <w:rFonts w:ascii="Georgia" w:hAnsi="Georgia" w:cs="Georgia"/>
          <w:color w:val="313231"/>
          <w:u w:color="262626"/>
        </w:rPr>
        <w:t>, rinnovano la solita minaccia: davanti a regole scomode possono sempre spostare le loro attività dovunque sia più conveniente.</w:t>
      </w:r>
      <w:proofErr w:type="gramStart"/>
      <w:r w:rsidRPr="00755606">
        <w:rPr>
          <w:rFonts w:ascii="Georgia" w:hAnsi="Georgia" w:cs="Georgia"/>
          <w:color w:val="313231"/>
          <w:u w:color="262626"/>
        </w:rPr>
        <w:t>  </w:t>
      </w:r>
      <w:proofErr w:type="gramEnd"/>
    </w:p>
    <w:p w14:paraId="471DCE77"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b/>
          <w:bCs/>
          <w:color w:val="313231"/>
          <w:u w:color="262626"/>
        </w:rPr>
        <w:t>Un “avviso” non casuale, vista l’aria che tira in Europa</w:t>
      </w:r>
      <w:r w:rsidRPr="00755606">
        <w:rPr>
          <w:rFonts w:ascii="Georgia" w:hAnsi="Georgia" w:cs="Georgia"/>
          <w:color w:val="313231"/>
          <w:u w:color="262626"/>
        </w:rPr>
        <w:t xml:space="preserve">. “Dopo che il Comitato di Supervisione bancaria di Basilea ha aumentato i requisiti di capitale per le banche, </w:t>
      </w:r>
      <w:proofErr w:type="gramStart"/>
      <w:r w:rsidRPr="00755606">
        <w:rPr>
          <w:rFonts w:ascii="Georgia" w:hAnsi="Georgia" w:cs="Georgia"/>
          <w:color w:val="313231"/>
          <w:u w:color="262626"/>
        </w:rPr>
        <w:t xml:space="preserve">la </w:t>
      </w:r>
      <w:proofErr w:type="gramEnd"/>
      <w:r w:rsidRPr="00755606">
        <w:rPr>
          <w:rFonts w:ascii="Georgia" w:hAnsi="Georgia" w:cs="Georgia"/>
          <w:color w:val="313231"/>
          <w:u w:color="262626"/>
        </w:rPr>
        <w:t>Ue vuole renderli ancora più stringenti. E ha approvato un nuovo sistema di regolamenti che accresce i poteri per vietare certi prodotti o attività finanziarie in tempi di stress dei mercati”, racconta ancora Reich</w:t>
      </w:r>
      <w:proofErr w:type="gramStart"/>
      <w:r w:rsidRPr="00755606">
        <w:rPr>
          <w:rFonts w:ascii="Georgia" w:hAnsi="Georgia" w:cs="Georgia"/>
          <w:color w:val="313231"/>
          <w:u w:color="262626"/>
        </w:rPr>
        <w:t xml:space="preserve"> .</w:t>
      </w:r>
      <w:proofErr w:type="gramEnd"/>
      <w:r w:rsidRPr="00755606">
        <w:rPr>
          <w:rFonts w:ascii="Georgia" w:hAnsi="Georgia" w:cs="Georgia"/>
          <w:color w:val="313231"/>
          <w:u w:color="262626"/>
        </w:rPr>
        <w:t>  </w:t>
      </w:r>
    </w:p>
    <w:p w14:paraId="5D8693D4" w14:textId="77777777" w:rsidR="00A31D19" w:rsidRPr="00755606" w:rsidRDefault="00A31D19" w:rsidP="00A31D19">
      <w:pPr>
        <w:spacing w:after="120"/>
        <w:ind w:firstLine="567"/>
        <w:jc w:val="both"/>
        <w:rPr>
          <w:rFonts w:ascii="Georgia" w:hAnsi="Georgia" w:cs="Georgia"/>
          <w:color w:val="313231"/>
          <w:u w:color="262626"/>
        </w:rPr>
      </w:pPr>
      <w:proofErr w:type="gramStart"/>
      <w:r w:rsidRPr="00755606">
        <w:rPr>
          <w:rFonts w:ascii="Georgia" w:hAnsi="Georgia" w:cs="Georgia"/>
          <w:color w:val="313231"/>
          <w:u w:color="262626"/>
        </w:rPr>
        <w:t>E commenta: “Forse bisognerebbe ricordare alle banche troppo-grandi-per-fallire i catastrofici danni che hanno causato all’economia americana e a gran parte del resto del mondo</w:t>
      </w:r>
      <w:proofErr w:type="gramEnd"/>
      <w:r w:rsidRPr="00755606">
        <w:rPr>
          <w:rFonts w:ascii="Georgia" w:hAnsi="Georgia" w:cs="Georgia"/>
          <w:color w:val="313231"/>
          <w:u w:color="262626"/>
        </w:rPr>
        <w:t xml:space="preserve">. </w:t>
      </w:r>
      <w:proofErr w:type="spellStart"/>
      <w:r w:rsidRPr="00755606">
        <w:rPr>
          <w:rFonts w:ascii="Georgia" w:hAnsi="Georgia" w:cs="Georgia"/>
          <w:color w:val="313231"/>
          <w:u w:color="262626"/>
        </w:rPr>
        <w:t>Wall</w:t>
      </w:r>
      <w:proofErr w:type="spellEnd"/>
      <w:r w:rsidRPr="00755606">
        <w:rPr>
          <w:rFonts w:ascii="Georgia" w:hAnsi="Georgia" w:cs="Georgia"/>
          <w:color w:val="313231"/>
          <w:u w:color="262626"/>
        </w:rPr>
        <w:t xml:space="preserve"> Street ha richiesto giganteschi salvataggi </w:t>
      </w:r>
      <w:proofErr w:type="gramStart"/>
      <w:r w:rsidRPr="00755606">
        <w:rPr>
          <w:rFonts w:ascii="Georgia" w:hAnsi="Georgia" w:cs="Georgia"/>
          <w:color w:val="313231"/>
          <w:u w:color="262626"/>
        </w:rPr>
        <w:t>coi</w:t>
      </w:r>
      <w:proofErr w:type="gramEnd"/>
      <w:r w:rsidRPr="00755606">
        <w:rPr>
          <w:rFonts w:ascii="Georgia" w:hAnsi="Georgia" w:cs="Georgia"/>
          <w:color w:val="313231"/>
          <w:u w:color="262626"/>
        </w:rPr>
        <w:t xml:space="preserve"> soldi dei cittadini. </w:t>
      </w:r>
      <w:proofErr w:type="gramStart"/>
      <w:r w:rsidRPr="00755606">
        <w:rPr>
          <w:rFonts w:ascii="Georgia" w:hAnsi="Georgia" w:cs="Georgia"/>
          <w:color w:val="313231"/>
          <w:u w:color="262626"/>
        </w:rPr>
        <w:t>E milioni di americani e di europei ne stanno vivendo le conseguenze”</w:t>
      </w:r>
      <w:proofErr w:type="gramEnd"/>
      <w:r w:rsidRPr="00755606">
        <w:rPr>
          <w:rFonts w:ascii="Georgia" w:hAnsi="Georgia" w:cs="Georgia"/>
          <w:color w:val="313231"/>
          <w:u w:color="262626"/>
        </w:rPr>
        <w:t>. </w:t>
      </w:r>
    </w:p>
    <w:p w14:paraId="0EE21BBD"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w:t>
      </w:r>
      <w:proofErr w:type="spellStart"/>
      <w:r w:rsidRPr="00755606">
        <w:rPr>
          <w:rFonts w:ascii="Georgia" w:hAnsi="Georgia" w:cs="Georgia"/>
          <w:color w:val="313231"/>
          <w:u w:color="262626"/>
        </w:rPr>
        <w:t>Wall</w:t>
      </w:r>
      <w:proofErr w:type="spellEnd"/>
      <w:r w:rsidRPr="00755606">
        <w:rPr>
          <w:rFonts w:ascii="Georgia" w:hAnsi="Georgia" w:cs="Georgia"/>
          <w:color w:val="313231"/>
          <w:u w:color="262626"/>
        </w:rPr>
        <w:t xml:space="preserve"> Street non può avere entrambe le cose: essere </w:t>
      </w:r>
      <w:proofErr w:type="gramStart"/>
      <w:r w:rsidRPr="00755606">
        <w:rPr>
          <w:rFonts w:ascii="Georgia" w:hAnsi="Georgia" w:cs="Georgia"/>
          <w:color w:val="313231"/>
          <w:u w:color="262626"/>
        </w:rPr>
        <w:t>troppo-grandi-per-fallire</w:t>
      </w:r>
      <w:proofErr w:type="gramEnd"/>
      <w:r w:rsidRPr="00755606">
        <w:rPr>
          <w:rFonts w:ascii="Georgia" w:hAnsi="Georgia" w:cs="Georgia"/>
          <w:color w:val="313231"/>
          <w:u w:color="262626"/>
        </w:rPr>
        <w:t xml:space="preserve"> ed essere anche in grado di fare scommesse selvagge in giro per il mondo. Se reclama libertà di movimento ovunque, il minimo che si può chiedere è che le banche </w:t>
      </w:r>
      <w:proofErr w:type="gramStart"/>
      <w:r w:rsidRPr="00755606">
        <w:rPr>
          <w:rFonts w:ascii="Georgia" w:hAnsi="Georgia" w:cs="Georgia"/>
          <w:color w:val="313231"/>
          <w:u w:color="262626"/>
        </w:rPr>
        <w:t>vengano</w:t>
      </w:r>
      <w:proofErr w:type="gramEnd"/>
      <w:r w:rsidRPr="00755606">
        <w:rPr>
          <w:rFonts w:ascii="Georgia" w:hAnsi="Georgia" w:cs="Georgia"/>
          <w:color w:val="313231"/>
          <w:u w:color="262626"/>
        </w:rPr>
        <w:t xml:space="preserve"> spezzate qui” (negli Usa, ma il ragionamento vale per tutte le </w:t>
      </w:r>
      <w:proofErr w:type="spellStart"/>
      <w:r w:rsidRPr="00755606">
        <w:rPr>
          <w:rFonts w:ascii="Georgia" w:hAnsi="Georgia" w:cs="Georgia"/>
          <w:color w:val="313231"/>
          <w:u w:color="262626"/>
        </w:rPr>
        <w:t>megabanche</w:t>
      </w:r>
      <w:proofErr w:type="spellEnd"/>
      <w:r w:rsidRPr="00755606">
        <w:rPr>
          <w:rFonts w:ascii="Georgia" w:hAnsi="Georgia" w:cs="Georgia"/>
          <w:color w:val="313231"/>
          <w:u w:color="262626"/>
        </w:rPr>
        <w:t xml:space="preserve"> speculative, dai bilanci non proprio trasparenti, ancora imbotti di titoli tossici).  </w:t>
      </w:r>
    </w:p>
    <w:p w14:paraId="134ECE78" w14:textId="77777777" w:rsidR="00A31D19" w:rsidRPr="00755606" w:rsidRDefault="00A31D19" w:rsidP="00A31D19">
      <w:pPr>
        <w:spacing w:after="120"/>
        <w:ind w:firstLine="567"/>
        <w:jc w:val="both"/>
        <w:rPr>
          <w:rFonts w:ascii="Georgia" w:hAnsi="Georgia" w:cs="Georgia"/>
          <w:color w:val="313231"/>
          <w:u w:color="262626"/>
        </w:rPr>
      </w:pPr>
      <w:r w:rsidRPr="00755606">
        <w:rPr>
          <w:rFonts w:ascii="Georgia" w:hAnsi="Georgia" w:cs="Georgia"/>
          <w:color w:val="313231"/>
          <w:u w:color="262626"/>
        </w:rPr>
        <w:t xml:space="preserve">Magari smembrate e divise fra banche speculative (a proprio rischio) e </w:t>
      </w:r>
      <w:proofErr w:type="gramStart"/>
      <w:r w:rsidRPr="00755606">
        <w:rPr>
          <w:rFonts w:ascii="Georgia" w:hAnsi="Georgia" w:cs="Georgia"/>
          <w:color w:val="313231"/>
          <w:u w:color="262626"/>
        </w:rPr>
        <w:t>banche</w:t>
      </w:r>
      <w:proofErr w:type="gramEnd"/>
      <w:r w:rsidRPr="00755606">
        <w:rPr>
          <w:rFonts w:ascii="Georgia" w:hAnsi="Georgia" w:cs="Georgia"/>
          <w:color w:val="313231"/>
          <w:u w:color="262626"/>
        </w:rPr>
        <w:t xml:space="preserve"> di depositi e prestiti con garanzie pubbliche, come ebbe il coraggio di fare Franklin Delano Roosevelt dopo la Crisi del ’29, provocata da simili eccessi della finanza.   </w:t>
      </w:r>
      <w:r w:rsidRPr="00755606">
        <w:rPr>
          <w:rFonts w:ascii="Georgia" w:hAnsi="Georgia" w:cs="Georgia"/>
          <w:b/>
          <w:bCs/>
          <w:color w:val="313231"/>
          <w:u w:color="262626"/>
        </w:rPr>
        <w:t xml:space="preserve">L’Europa politica avrà la forza di andare avanti </w:t>
      </w:r>
      <w:r w:rsidRPr="00755606">
        <w:rPr>
          <w:rFonts w:ascii="Georgia" w:hAnsi="Georgia" w:cs="Georgia"/>
          <w:color w:val="313231"/>
          <w:u w:color="262626"/>
        </w:rPr>
        <w:t xml:space="preserve">con l’unione bancaria, con regole e vigilanza più strette e </w:t>
      </w:r>
      <w:r w:rsidRPr="00755606">
        <w:rPr>
          <w:rFonts w:ascii="Georgia" w:hAnsi="Georgia" w:cs="Georgia"/>
          <w:b/>
          <w:bCs/>
          <w:color w:val="313231"/>
          <w:u w:color="262626"/>
        </w:rPr>
        <w:t>magari applicando fin da ora quei “</w:t>
      </w:r>
      <w:proofErr w:type="spellStart"/>
      <w:r w:rsidRPr="00755606">
        <w:rPr>
          <w:rFonts w:ascii="Georgia" w:hAnsi="Georgia" w:cs="Georgia"/>
          <w:b/>
          <w:bCs/>
          <w:color w:val="313231"/>
          <w:u w:color="262626"/>
        </w:rPr>
        <w:t>divietiin</w:t>
      </w:r>
      <w:proofErr w:type="spellEnd"/>
      <w:r w:rsidRPr="00755606">
        <w:rPr>
          <w:rFonts w:ascii="Georgia" w:hAnsi="Georgia" w:cs="Georgia"/>
          <w:b/>
          <w:bCs/>
          <w:color w:val="313231"/>
          <w:u w:color="262626"/>
        </w:rPr>
        <w:t xml:space="preserve"> tempo di stress dei mercati</w:t>
      </w:r>
      <w:r w:rsidRPr="00755606">
        <w:rPr>
          <w:rFonts w:ascii="Georgia" w:hAnsi="Georgia" w:cs="Georgia"/>
          <w:color w:val="313231"/>
          <w:u w:color="262626"/>
        </w:rPr>
        <w:t xml:space="preserve">” che potrebbero proteggere i paesi “deboli” nel mirino della speculazione? Alcuni commentatori italiani iniziano a chiederlo apertamente, cominciando col farlo in Italia </w:t>
      </w:r>
      <w:hyperlink r:id="rId16" w:history="1">
        <w:r w:rsidRPr="00755606">
          <w:rPr>
            <w:rFonts w:ascii="Georgia" w:hAnsi="Georgia" w:cs="Georgia"/>
            <w:color w:val="073E76"/>
            <w:u w:color="262626"/>
          </w:rPr>
          <w:t>(vedi per es. qui</w:t>
        </w:r>
      </w:hyperlink>
      <w:r w:rsidRPr="00755606">
        <w:rPr>
          <w:rFonts w:ascii="Georgia" w:hAnsi="Georgia" w:cs="Georgia"/>
          <w:color w:val="313231"/>
          <w:u w:color="262626"/>
        </w:rPr>
        <w:t xml:space="preserve">). </w:t>
      </w:r>
    </w:p>
    <w:p w14:paraId="51539CE5" w14:textId="77777777" w:rsidR="003471EF" w:rsidRDefault="00A31D19" w:rsidP="00A31D19">
      <w:pPr>
        <w:spacing w:after="120"/>
        <w:ind w:firstLine="567"/>
        <w:jc w:val="both"/>
      </w:pPr>
      <w:r w:rsidRPr="00755606">
        <w:rPr>
          <w:rFonts w:ascii="Georgia" w:hAnsi="Georgia" w:cs="Georgia"/>
          <w:color w:val="313231"/>
          <w:u w:color="262626"/>
        </w:rPr>
        <w:t xml:space="preserve">Altro che </w:t>
      </w:r>
      <w:proofErr w:type="spellStart"/>
      <w:r w:rsidRPr="00755606">
        <w:rPr>
          <w:rFonts w:ascii="Georgia" w:hAnsi="Georgia" w:cs="Georgia"/>
          <w:color w:val="313231"/>
          <w:u w:color="262626"/>
        </w:rPr>
        <w:t>Tobin</w:t>
      </w:r>
      <w:proofErr w:type="spellEnd"/>
      <w:r w:rsidRPr="00755606">
        <w:rPr>
          <w:rFonts w:ascii="Georgia" w:hAnsi="Georgia" w:cs="Georgia"/>
          <w:color w:val="313231"/>
          <w:u w:color="262626"/>
        </w:rPr>
        <w:t xml:space="preserve"> </w:t>
      </w:r>
      <w:proofErr w:type="spellStart"/>
      <w:r w:rsidRPr="00755606">
        <w:rPr>
          <w:rFonts w:ascii="Georgia" w:hAnsi="Georgia" w:cs="Georgia"/>
          <w:color w:val="313231"/>
          <w:u w:color="262626"/>
        </w:rPr>
        <w:t>T</w:t>
      </w:r>
      <w:r>
        <w:rPr>
          <w:rFonts w:ascii="Georgia" w:hAnsi="Georgia" w:cs="Georgia"/>
          <w:color w:val="313231"/>
          <w:sz w:val="26"/>
          <w:szCs w:val="26"/>
          <w:u w:color="262626"/>
        </w:rPr>
        <w:t>ax</w:t>
      </w:r>
      <w:proofErr w:type="spellEnd"/>
      <w:r>
        <w:rPr>
          <w:rFonts w:ascii="Georgia" w:hAnsi="Georgia" w:cs="Georgia"/>
          <w:color w:val="313231"/>
          <w:sz w:val="26"/>
          <w:szCs w:val="26"/>
          <w:u w:color="262626"/>
        </w:rPr>
        <w:t>. </w:t>
      </w:r>
    </w:p>
    <w:sectPr w:rsidR="003471EF" w:rsidSect="00F91AD2">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ED5A" w14:textId="77777777" w:rsidR="002D50B6" w:rsidRDefault="002D50B6" w:rsidP="002D50B6">
      <w:r>
        <w:separator/>
      </w:r>
    </w:p>
  </w:endnote>
  <w:endnote w:type="continuationSeparator" w:id="0">
    <w:p w14:paraId="659AF90F" w14:textId="77777777" w:rsidR="002D50B6" w:rsidRDefault="002D50B6" w:rsidP="002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03AA8" w14:textId="77777777" w:rsidR="002D50B6" w:rsidRDefault="002D50B6" w:rsidP="002D50B6">
      <w:r>
        <w:separator/>
      </w:r>
    </w:p>
  </w:footnote>
  <w:footnote w:type="continuationSeparator" w:id="0">
    <w:p w14:paraId="7AEC13E8" w14:textId="77777777" w:rsidR="002D50B6" w:rsidRDefault="002D50B6" w:rsidP="002D5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568F" w14:textId="77777777" w:rsidR="00F46759" w:rsidRDefault="00F46759">
    <w:pPr>
      <w:pStyle w:val="Intestazione"/>
    </w:pPr>
    <w:r>
      <w:rPr>
        <w:noProof/>
      </w:rPr>
      <mc:AlternateContent>
        <mc:Choice Requires="wps">
          <w:drawing>
            <wp:anchor distT="0" distB="0" distL="114300" distR="114300" simplePos="0" relativeHeight="251659264" behindDoc="0" locked="0" layoutInCell="1" allowOverlap="1" wp14:anchorId="5DDED155" wp14:editId="6DD129D8">
              <wp:simplePos x="0" y="0"/>
              <wp:positionH relativeFrom="column">
                <wp:posOffset>3314700</wp:posOffset>
              </wp:positionH>
              <wp:positionV relativeFrom="paragraph">
                <wp:posOffset>107315</wp:posOffset>
              </wp:positionV>
              <wp:extent cx="2358390" cy="448945"/>
              <wp:effectExtent l="0" t="0" r="0" b="825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58390" cy="448945"/>
                      </a:xfrm>
                      <a:prstGeom prst="rect">
                        <a:avLst/>
                      </a:prstGeom>
                      <a:noFill/>
                      <a:ln>
                        <a:noFill/>
                      </a:ln>
                      <a:effectLst/>
                      <a:extLst>
                        <a:ext uri="{C572A759-6A51-4108-AA02-DFA0A04FC94B}">
                          <ma14:wrappingTextBoxFlag xmlns:ma14="http://schemas.microsoft.com/office/mac/drawingml/2011/main"/>
                        </a:ext>
                      </a:extLst>
                    </wps:spPr>
                    <wps:txbx>
                      <w:txbxContent>
                        <w:p w14:paraId="2B1A9658" w14:textId="77777777" w:rsidR="002D50B6" w:rsidRDefault="002D50B6" w:rsidP="002D50B6">
                          <w:pPr>
                            <w:pStyle w:val="Intestazione"/>
                          </w:pPr>
                          <w:r>
                            <w:t>Incontro formativo per dirigenti</w:t>
                          </w:r>
                          <w:proofErr w:type="gramStart"/>
                          <w:r>
                            <w:t xml:space="preserve">  </w:t>
                          </w:r>
                          <w:proofErr w:type="gramEnd"/>
                        </w:p>
                        <w:p w14:paraId="360672FB" w14:textId="77777777" w:rsidR="002D50B6" w:rsidRDefault="002D50B6" w:rsidP="002D50B6">
                          <w:pPr>
                            <w:pStyle w:val="Intestazione"/>
                          </w:pPr>
                          <w:r>
                            <w:t>Sanremo Villetta 25 ottobre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261pt;margin-top:8.45pt;width:185.7pt;height:35.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" filled="f" stroked="f">
              <v:textbox style="mso-fit-shape-to-text:t">
                <w:txbxContent>
                  <w:p w14:paraId="2B1A9658" w14:textId="77777777" w:rsidR="002D50B6" w:rsidRDefault="002D50B6" w:rsidP="002D50B6">
                    <w:pPr>
                      <w:pStyle w:val="Intestazione"/>
                    </w:pPr>
                    <w:r>
                      <w:t>Incontro formativo per dirigenti</w:t>
                    </w:r>
                    <w:proofErr w:type="gramStart"/>
                    <w:r>
                      <w:t xml:space="preserve">  </w:t>
                    </w:r>
                    <w:proofErr w:type="gramEnd"/>
                  </w:p>
                  <w:p w14:paraId="360672FB" w14:textId="77777777" w:rsidR="002D50B6" w:rsidRDefault="002D50B6" w:rsidP="002D50B6">
                    <w:pPr>
                      <w:pStyle w:val="Intestazione"/>
                    </w:pPr>
                    <w:r>
                      <w:t>Sanremo Villetta 25 ottobre 2013</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53021E8" wp14:editId="2251F01E">
              <wp:simplePos x="0" y="0"/>
              <wp:positionH relativeFrom="column">
                <wp:posOffset>1257300</wp:posOffset>
              </wp:positionH>
              <wp:positionV relativeFrom="paragraph">
                <wp:posOffset>107315</wp:posOffset>
              </wp:positionV>
              <wp:extent cx="1115695" cy="269875"/>
              <wp:effectExtent l="0" t="0" r="0" b="95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1115695" cy="269875"/>
                      </a:xfrm>
                      <a:prstGeom prst="rect">
                        <a:avLst/>
                      </a:prstGeom>
                      <a:noFill/>
                      <a:ln>
                        <a:noFill/>
                      </a:ln>
                      <a:effectLst/>
                      <a:extLst>
                        <a:ext uri="{C572A759-6A51-4108-AA02-DFA0A04FC94B}">
                          <ma14:wrappingTextBoxFlag xmlns:ma14="http://schemas.microsoft.com/office/mac/drawingml/2011/main"/>
                        </a:ext>
                      </a:extLst>
                    </wps:spPr>
                    <wps:txbx>
                      <w:txbxContent>
                        <w:p w14:paraId="34A57C18" w14:textId="77777777" w:rsidR="002D50B6" w:rsidRDefault="002D50B6" w:rsidP="002D50B6">
                          <w:pPr>
                            <w:pStyle w:val="Intestazione"/>
                            <w:rPr>
                              <w:noProof/>
                            </w:rPr>
                          </w:pPr>
                          <w:r>
                            <w:t>ACLI IMPERIA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3" o:spid="_x0000_s1027" type="#_x0000_t202" style="position:absolute;margin-left:99pt;margin-top:8.45pt;width:87.85pt;height:21.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" filled="f" stroked="f">
              <v:textbox style="mso-fit-shape-to-text:t">
                <w:txbxContent>
                  <w:p w14:paraId="34A57C18" w14:textId="77777777" w:rsidR="002D50B6" w:rsidRDefault="002D50B6" w:rsidP="002D50B6">
                    <w:pPr>
                      <w:pStyle w:val="Intestazione"/>
                      <w:rPr>
                        <w:noProof/>
                      </w:rPr>
                    </w:pPr>
                    <w:r>
                      <w:t>ACLI IMPERIA</w:t>
                    </w:r>
                  </w:p>
                </w:txbxContent>
              </v:textbox>
              <w10:wrap type="square"/>
            </v:shape>
          </w:pict>
        </mc:Fallback>
      </mc:AlternateContent>
    </w:r>
    <w:r w:rsidR="002D50B6">
      <w:rPr>
        <w:rFonts w:ascii="Helvetica" w:hAnsi="Helvetica" w:cs="Helvetica"/>
        <w:noProof/>
      </w:rPr>
      <w:drawing>
        <wp:inline distT="0" distB="0" distL="0" distR="0" wp14:anchorId="4C1E4756" wp14:editId="40A3902C">
          <wp:extent cx="1028418" cy="66112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672" cy="661289"/>
                  </a:xfrm>
                  <a:prstGeom prst="rect">
                    <a:avLst/>
                  </a:prstGeom>
                  <a:noFill/>
                  <a:ln>
                    <a:noFill/>
                  </a:ln>
                </pic:spPr>
              </pic:pic>
            </a:graphicData>
          </a:graphic>
        </wp:inline>
      </w:drawing>
    </w:r>
  </w:p>
  <w:tbl>
    <w:tblPr>
      <w:tblW w:w="11700" w:type="dxa"/>
      <w:tblInd w:w="-714" w:type="dxa"/>
      <w:tblBorders>
        <w:top w:val="nil"/>
        <w:left w:val="nil"/>
        <w:bottom w:val="single" w:sz="16" w:space="0" w:color="073E76"/>
        <w:right w:val="nil"/>
      </w:tblBorders>
      <w:tblLayout w:type="fixed"/>
      <w:tblLook w:val="0000" w:firstRow="0" w:lastRow="0" w:firstColumn="0" w:lastColumn="0" w:noHBand="0" w:noVBand="0"/>
    </w:tblPr>
    <w:tblGrid>
      <w:gridCol w:w="9080"/>
      <w:gridCol w:w="2620"/>
    </w:tblGrid>
    <w:tr w:rsidR="00F46759" w14:paraId="04C3A7DB" w14:textId="77777777" w:rsidTr="007740DA">
      <w:trPr>
        <w:trHeight w:val="100"/>
      </w:trPr>
      <w:tc>
        <w:tcPr>
          <w:tcW w:w="9080" w:type="dxa"/>
          <w:vAlign w:val="bottom"/>
        </w:tcPr>
        <w:p w14:paraId="1DF08797" w14:textId="77777777" w:rsidR="00F46759" w:rsidRDefault="00F46759" w:rsidP="007740DA">
          <w:pPr>
            <w:widowControl w:val="0"/>
            <w:autoSpaceDE w:val="0"/>
            <w:autoSpaceDN w:val="0"/>
            <w:adjustRightInd w:val="0"/>
            <w:jc w:val="both"/>
            <w:rPr>
              <w:rFonts w:ascii="Verdana" w:hAnsi="Verdana" w:cs="Verdana"/>
              <w:b/>
              <w:bCs/>
              <w:color w:val="073E76"/>
              <w:sz w:val="26"/>
              <w:szCs w:val="26"/>
            </w:rPr>
          </w:pPr>
        </w:p>
      </w:tc>
      <w:tc>
        <w:tcPr>
          <w:tcW w:w="2620" w:type="dxa"/>
          <w:vAlign w:val="bottom"/>
        </w:tcPr>
        <w:p w14:paraId="2F8E64F4" w14:textId="77777777" w:rsidR="00F46759" w:rsidRDefault="00F46759" w:rsidP="007740DA">
          <w:pPr>
            <w:widowControl w:val="0"/>
            <w:autoSpaceDE w:val="0"/>
            <w:autoSpaceDN w:val="0"/>
            <w:adjustRightInd w:val="0"/>
            <w:ind w:right="1136"/>
            <w:jc w:val="both"/>
            <w:rPr>
              <w:rFonts w:ascii="Verdana" w:hAnsi="Verdana" w:cs="Verdana"/>
            </w:rPr>
          </w:pPr>
        </w:p>
      </w:tc>
    </w:tr>
  </w:tbl>
  <w:p w14:paraId="14CEA248" w14:textId="73F27E61" w:rsidR="00F46759" w:rsidRDefault="00F46759">
    <w:pPr>
      <w:pStyle w:val="Intestazione"/>
    </w:pPr>
    <w:r>
      <w:br/>
    </w:r>
  </w:p>
  <w:p w14:paraId="25145B53" w14:textId="35911800" w:rsidR="002D50B6" w:rsidRDefault="002D50B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19"/>
    <w:rsid w:val="002D50B6"/>
    <w:rsid w:val="003471EF"/>
    <w:rsid w:val="003D3AB1"/>
    <w:rsid w:val="005F388C"/>
    <w:rsid w:val="006F44F9"/>
    <w:rsid w:val="00755606"/>
    <w:rsid w:val="009D461B"/>
    <w:rsid w:val="00A31D19"/>
    <w:rsid w:val="00D430DB"/>
    <w:rsid w:val="00F46759"/>
    <w:rsid w:val="00F91A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30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1D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31D19"/>
    <w:rPr>
      <w:rFonts w:ascii="Lucida Grande" w:hAnsi="Lucida Grande" w:cs="Lucida Grande"/>
      <w:sz w:val="18"/>
      <w:szCs w:val="18"/>
    </w:rPr>
  </w:style>
  <w:style w:type="paragraph" w:styleId="Intestazione">
    <w:name w:val="header"/>
    <w:basedOn w:val="Normale"/>
    <w:link w:val="IntestazioneCarattere"/>
    <w:uiPriority w:val="99"/>
    <w:unhideWhenUsed/>
    <w:rsid w:val="002D50B6"/>
    <w:pPr>
      <w:tabs>
        <w:tab w:val="center" w:pos="4819"/>
        <w:tab w:val="right" w:pos="9638"/>
      </w:tabs>
    </w:pPr>
  </w:style>
  <w:style w:type="character" w:customStyle="1" w:styleId="IntestazioneCarattere">
    <w:name w:val="Intestazione Carattere"/>
    <w:basedOn w:val="Caratterepredefinitoparagrafo"/>
    <w:link w:val="Intestazione"/>
    <w:uiPriority w:val="99"/>
    <w:rsid w:val="002D50B6"/>
  </w:style>
  <w:style w:type="paragraph" w:styleId="Pidipagina">
    <w:name w:val="footer"/>
    <w:basedOn w:val="Normale"/>
    <w:link w:val="PidipaginaCarattere"/>
    <w:uiPriority w:val="99"/>
    <w:unhideWhenUsed/>
    <w:rsid w:val="002D50B6"/>
    <w:pPr>
      <w:tabs>
        <w:tab w:val="center" w:pos="4819"/>
        <w:tab w:val="right" w:pos="9638"/>
      </w:tabs>
    </w:pPr>
  </w:style>
  <w:style w:type="character" w:customStyle="1" w:styleId="PidipaginaCarattere">
    <w:name w:val="Piè di pagina Carattere"/>
    <w:basedOn w:val="Caratterepredefinitoparagrafo"/>
    <w:link w:val="Pidipagina"/>
    <w:uiPriority w:val="99"/>
    <w:rsid w:val="002D5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1D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31D19"/>
    <w:rPr>
      <w:rFonts w:ascii="Lucida Grande" w:hAnsi="Lucida Grande" w:cs="Lucida Grande"/>
      <w:sz w:val="18"/>
      <w:szCs w:val="18"/>
    </w:rPr>
  </w:style>
  <w:style w:type="paragraph" w:styleId="Intestazione">
    <w:name w:val="header"/>
    <w:basedOn w:val="Normale"/>
    <w:link w:val="IntestazioneCarattere"/>
    <w:uiPriority w:val="99"/>
    <w:unhideWhenUsed/>
    <w:rsid w:val="002D50B6"/>
    <w:pPr>
      <w:tabs>
        <w:tab w:val="center" w:pos="4819"/>
        <w:tab w:val="right" w:pos="9638"/>
      </w:tabs>
    </w:pPr>
  </w:style>
  <w:style w:type="character" w:customStyle="1" w:styleId="IntestazioneCarattere">
    <w:name w:val="Intestazione Carattere"/>
    <w:basedOn w:val="Caratterepredefinitoparagrafo"/>
    <w:link w:val="Intestazione"/>
    <w:uiPriority w:val="99"/>
    <w:rsid w:val="002D50B6"/>
  </w:style>
  <w:style w:type="paragraph" w:styleId="Pidipagina">
    <w:name w:val="footer"/>
    <w:basedOn w:val="Normale"/>
    <w:link w:val="PidipaginaCarattere"/>
    <w:uiPriority w:val="99"/>
    <w:unhideWhenUsed/>
    <w:rsid w:val="002D50B6"/>
    <w:pPr>
      <w:tabs>
        <w:tab w:val="center" w:pos="4819"/>
        <w:tab w:val="right" w:pos="9638"/>
      </w:tabs>
    </w:pPr>
  </w:style>
  <w:style w:type="character" w:customStyle="1" w:styleId="PidipaginaCarattere">
    <w:name w:val="Piè di pagina Carattere"/>
    <w:basedOn w:val="Caratterepredefinitoparagrafo"/>
    <w:link w:val="Pidipagina"/>
    <w:uiPriority w:val="99"/>
    <w:rsid w:val="002D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stampa.it/" TargetMode="External"/><Relationship Id="rId12" Type="http://schemas.openxmlformats.org/officeDocument/2006/relationships/image" Target="media/image2.gif"/><Relationship Id="rId13" Type="http://schemas.openxmlformats.org/officeDocument/2006/relationships/hyperlink" Target="http://www.lastampa.it/Blogs" TargetMode="External"/><Relationship Id="rId14" Type="http://schemas.openxmlformats.org/officeDocument/2006/relationships/hyperlink" Target="http://robertreich.org/" TargetMode="External"/><Relationship Id="rId15" Type="http://schemas.openxmlformats.org/officeDocument/2006/relationships/hyperlink" Target="http://www.ilsole24ore.com/art/finanza-e-mercati/2012-06-19/mina-derivati-vale-meta-225442.shtml?uuid=AbRQOBvF" TargetMode="External"/><Relationship Id="rId16" Type="http://schemas.openxmlformats.org/officeDocument/2006/relationships/hyperlink" Target="http://www.ilsole24ore.com/art/notizie/2012-06-20/spirale-fermare-063617.shtml?uuid=AbhEUCv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stampa.it/Blogs/underblog" TargetMode="External"/><Relationship Id="rId8" Type="http://schemas.openxmlformats.org/officeDocument/2006/relationships/image" Target="media/image1.png"/><Relationship Id="rId9" Type="http://schemas.openxmlformats.org/officeDocument/2006/relationships/hyperlink" Target="http://www.lastampa.it/Blogs/underblog" TargetMode="External"/><Relationship Id="rId10" Type="http://schemas.openxmlformats.org/officeDocument/2006/relationships/hyperlink" Target="http://www.lastampa.it/Blogs/under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1456</Words>
  <Characters>8303</Characters>
  <Application>Microsoft Macintosh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Brunengo</dc:creator>
  <cp:keywords/>
  <dc:description/>
  <cp:lastModifiedBy>Luciano Brunengo</cp:lastModifiedBy>
  <cp:revision>8</cp:revision>
  <dcterms:created xsi:type="dcterms:W3CDTF">2013-10-25T11:23:00Z</dcterms:created>
  <dcterms:modified xsi:type="dcterms:W3CDTF">2013-10-25T11:48:00Z</dcterms:modified>
</cp:coreProperties>
</file>